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E92C37" w14:textId="5AD25C76" w:rsidR="00773DAF" w:rsidRDefault="004D7C51" w:rsidP="00773DAF">
      <w:pPr>
        <w:adjustRightInd w:val="0"/>
        <w:snapToGrid w:val="0"/>
        <w:spacing w:before="156" w:after="156"/>
        <w:rPr>
          <w:rFonts w:cs="Times New Roman"/>
          <w:color w:val="000000" w:themeColor="text1"/>
          <w:szCs w:val="21"/>
        </w:rPr>
      </w:pPr>
      <w:bookmarkStart w:id="0" w:name="_Hlk216971430"/>
      <w:r w:rsidRPr="004D7C51">
        <w:rPr>
          <w:rFonts w:cs="Times New Roman"/>
          <w:color w:val="000000" w:themeColor="text1"/>
          <w:szCs w:val="21"/>
        </w:rPr>
        <w:t>Dear Editor and Reviewers,</w:t>
      </w:r>
    </w:p>
    <w:p w14:paraId="407C9ECB" w14:textId="77777777" w:rsidR="004D7C51" w:rsidRPr="00773DAF" w:rsidRDefault="004D7C51" w:rsidP="00773DAF">
      <w:pPr>
        <w:adjustRightInd w:val="0"/>
        <w:snapToGrid w:val="0"/>
        <w:spacing w:before="156" w:after="156"/>
        <w:rPr>
          <w:rFonts w:cs="Times New Roman" w:hint="eastAsia"/>
          <w:color w:val="000000" w:themeColor="text1"/>
          <w:szCs w:val="21"/>
        </w:rPr>
      </w:pPr>
    </w:p>
    <w:p w14:paraId="1DCB4931" w14:textId="1CA4B2DE" w:rsidR="00773DAF" w:rsidRDefault="00773DAF" w:rsidP="00773DAF">
      <w:pPr>
        <w:adjustRightInd w:val="0"/>
        <w:snapToGrid w:val="0"/>
        <w:spacing w:before="156" w:after="156"/>
        <w:rPr>
          <w:rFonts w:cs="Times New Roman"/>
          <w:color w:val="000000" w:themeColor="text1"/>
          <w:szCs w:val="21"/>
        </w:rPr>
      </w:pPr>
      <w:r w:rsidRPr="00773DAF">
        <w:rPr>
          <w:rFonts w:cs="Times New Roman"/>
          <w:color w:val="000000" w:themeColor="text1"/>
          <w:szCs w:val="21"/>
        </w:rPr>
        <w:t xml:space="preserve">We are so grateful to receive the valuable comments and suggestions from the reviewers which are essential for improving the quality of this paper and making our conclusions more convincing. We also appreciate you kindly giving us an opportunity to revise it. With the suggestions and comments from the reviewers, we added several parts to strengthen the results and discussion, such as calculating and integrating pixel-scale ensemble statistics (mean, standard deviation, maximum, and minimum) into </w:t>
      </w:r>
      <w:r w:rsidR="00711D89" w:rsidRPr="00711D89">
        <w:rPr>
          <w:rFonts w:cs="Times New Roman"/>
          <w:color w:val="000000" w:themeColor="text1"/>
          <w:szCs w:val="21"/>
        </w:rPr>
        <w:t>the Multi-ensemble Biomass-burning Emissions Inventory (</w:t>
      </w:r>
      <w:proofErr w:type="spellStart"/>
      <w:r w:rsidR="00711D89" w:rsidRPr="00711D89">
        <w:rPr>
          <w:rFonts w:cs="Times New Roman"/>
          <w:color w:val="000000" w:themeColor="text1"/>
          <w:szCs w:val="21"/>
        </w:rPr>
        <w:t>MBEI</w:t>
      </w:r>
      <w:proofErr w:type="spellEnd"/>
      <w:r w:rsidR="00711D89" w:rsidRPr="00711D89">
        <w:rPr>
          <w:rFonts w:cs="Times New Roman"/>
          <w:color w:val="000000" w:themeColor="text1"/>
          <w:szCs w:val="21"/>
        </w:rPr>
        <w:t>)</w:t>
      </w:r>
      <w:r w:rsidRPr="00773DAF">
        <w:rPr>
          <w:rFonts w:cs="Times New Roman"/>
          <w:color w:val="000000" w:themeColor="text1"/>
          <w:szCs w:val="21"/>
        </w:rPr>
        <w:t xml:space="preserve"> dataset to explicitly quantify uncertainty. Additionally, we significantly expanded the discussion to address the trade-offs between temporal consistency (MODIS) and spatial resolution (</w:t>
      </w:r>
      <w:proofErr w:type="spellStart"/>
      <w:r w:rsidRPr="00773DAF">
        <w:rPr>
          <w:rFonts w:cs="Times New Roman"/>
          <w:color w:val="000000" w:themeColor="text1"/>
          <w:szCs w:val="21"/>
        </w:rPr>
        <w:t>VIIRS</w:t>
      </w:r>
      <w:proofErr w:type="spellEnd"/>
      <w:r w:rsidRPr="00773DAF">
        <w:rPr>
          <w:rFonts w:cs="Times New Roman"/>
          <w:color w:val="000000" w:themeColor="text1"/>
          <w:szCs w:val="21"/>
        </w:rPr>
        <w:t>), as well as the physical limitations regarding small-fire detection and fuel load estimation. We have also condensed the abstract and improved the visual quality of the figures. We have carefully studied all precious comments and suggestions and did our best to revise this manuscript. The revised part has been highlighted in yellow color and the responses to reviewers’ comments are attached to this file. We hope that our responses are satisfactory for you and the reviewers.</w:t>
      </w:r>
      <w:r w:rsidR="00BC4510">
        <w:rPr>
          <w:rFonts w:cs="Times New Roman" w:hint="eastAsia"/>
          <w:color w:val="000000" w:themeColor="text1"/>
          <w:szCs w:val="21"/>
        </w:rPr>
        <w:t xml:space="preserve"> </w:t>
      </w:r>
      <w:r w:rsidR="00BC4510" w:rsidRPr="00BC4510">
        <w:rPr>
          <w:rFonts w:cs="Times New Roman"/>
          <w:color w:val="000000" w:themeColor="text1"/>
          <w:szCs w:val="21"/>
        </w:rPr>
        <w:t xml:space="preserve">The dataset is publicly available at </w:t>
      </w:r>
      <w:bookmarkStart w:id="1" w:name="_Hlk218448654"/>
      <w:r w:rsidR="00BC4510" w:rsidRPr="00BC4510">
        <w:rPr>
          <w:rFonts w:cs="Times New Roman"/>
          <w:color w:val="000000" w:themeColor="text1"/>
          <w:szCs w:val="21"/>
        </w:rPr>
        <w:t>https://</w:t>
      </w:r>
      <w:proofErr w:type="spellStart"/>
      <w:r w:rsidR="00BC4510" w:rsidRPr="00BC4510">
        <w:rPr>
          <w:rFonts w:cs="Times New Roman"/>
          <w:color w:val="000000" w:themeColor="text1"/>
          <w:szCs w:val="21"/>
        </w:rPr>
        <w:t>doi.org</w:t>
      </w:r>
      <w:proofErr w:type="spellEnd"/>
      <w:r w:rsidR="00BC4510" w:rsidRPr="00BC4510">
        <w:rPr>
          <w:rFonts w:cs="Times New Roman"/>
          <w:color w:val="000000" w:themeColor="text1"/>
          <w:szCs w:val="21"/>
        </w:rPr>
        <w:t>/10.5281/</w:t>
      </w:r>
      <w:proofErr w:type="spellStart"/>
      <w:r w:rsidR="00BC4510" w:rsidRPr="00BC4510">
        <w:rPr>
          <w:rFonts w:cs="Times New Roman"/>
          <w:color w:val="000000" w:themeColor="text1"/>
          <w:szCs w:val="21"/>
        </w:rPr>
        <w:t>zenodo.18104830</w:t>
      </w:r>
      <w:proofErr w:type="spellEnd"/>
      <w:r w:rsidR="00BC4510" w:rsidRPr="00BC4510">
        <w:rPr>
          <w:rFonts w:cs="Times New Roman"/>
          <w:color w:val="000000" w:themeColor="text1"/>
          <w:szCs w:val="21"/>
        </w:rPr>
        <w:t>.</w:t>
      </w:r>
      <w:bookmarkEnd w:id="1"/>
    </w:p>
    <w:p w14:paraId="2A43C568" w14:textId="77777777" w:rsidR="007124AA" w:rsidRPr="00773DAF" w:rsidRDefault="007124AA" w:rsidP="00773DAF">
      <w:pPr>
        <w:adjustRightInd w:val="0"/>
        <w:snapToGrid w:val="0"/>
        <w:spacing w:before="156" w:after="156"/>
        <w:rPr>
          <w:rFonts w:cs="Times New Roman"/>
          <w:color w:val="000000" w:themeColor="text1"/>
          <w:szCs w:val="21"/>
        </w:rPr>
      </w:pPr>
    </w:p>
    <w:p w14:paraId="4E57441E" w14:textId="77777777" w:rsidR="007124AA" w:rsidRPr="007124AA" w:rsidRDefault="007124AA" w:rsidP="007124AA">
      <w:pPr>
        <w:adjustRightInd w:val="0"/>
        <w:snapToGrid w:val="0"/>
        <w:spacing w:before="156" w:after="156"/>
        <w:rPr>
          <w:rFonts w:cs="Times New Roman"/>
          <w:color w:val="000000" w:themeColor="text1"/>
          <w:szCs w:val="21"/>
        </w:rPr>
      </w:pPr>
      <w:r w:rsidRPr="007124AA">
        <w:rPr>
          <w:rFonts w:cs="Times New Roman"/>
          <w:color w:val="000000" w:themeColor="text1"/>
          <w:szCs w:val="21"/>
        </w:rPr>
        <w:t>Yours sincerely,</w:t>
      </w:r>
    </w:p>
    <w:p w14:paraId="04DD2205" w14:textId="77777777" w:rsidR="007124AA" w:rsidRPr="007124AA" w:rsidRDefault="007124AA" w:rsidP="007124AA">
      <w:pPr>
        <w:adjustRightInd w:val="0"/>
        <w:snapToGrid w:val="0"/>
        <w:spacing w:before="156" w:after="156"/>
        <w:rPr>
          <w:rFonts w:cs="Times New Roman"/>
          <w:color w:val="000000" w:themeColor="text1"/>
          <w:szCs w:val="21"/>
        </w:rPr>
      </w:pPr>
      <w:r w:rsidRPr="007124AA">
        <w:rPr>
          <w:rFonts w:cs="Times New Roman"/>
          <w:color w:val="000000" w:themeColor="text1"/>
          <w:szCs w:val="21"/>
        </w:rPr>
        <w:t>Shuai Yin</w:t>
      </w:r>
    </w:p>
    <w:p w14:paraId="326EDB9B" w14:textId="77777777" w:rsidR="007124AA" w:rsidRPr="007124AA" w:rsidRDefault="007124AA" w:rsidP="007124AA">
      <w:pPr>
        <w:adjustRightInd w:val="0"/>
        <w:snapToGrid w:val="0"/>
        <w:spacing w:before="156" w:after="156"/>
        <w:rPr>
          <w:rFonts w:cs="Times New Roman"/>
          <w:color w:val="000000" w:themeColor="text1"/>
          <w:szCs w:val="21"/>
        </w:rPr>
      </w:pPr>
      <w:r w:rsidRPr="007124AA">
        <w:rPr>
          <w:rFonts w:cs="Times New Roman"/>
          <w:color w:val="000000" w:themeColor="text1"/>
          <w:szCs w:val="21"/>
        </w:rPr>
        <w:t xml:space="preserve">Affiliation: State Key Laboratory of Remote Sensing and Digital Earth, Aerospace Information Research Institute, Chinese Academy of Sciences. Beijing 100101, China </w:t>
      </w:r>
    </w:p>
    <w:p w14:paraId="2CF4DEAD" w14:textId="61EB8F37" w:rsidR="00773DAF" w:rsidRDefault="007124AA" w:rsidP="007124AA">
      <w:pPr>
        <w:adjustRightInd w:val="0"/>
        <w:snapToGrid w:val="0"/>
        <w:spacing w:before="156" w:after="156"/>
        <w:rPr>
          <w:rFonts w:cs="Times New Roman"/>
          <w:b/>
          <w:bCs/>
          <w:color w:val="000000" w:themeColor="text1"/>
          <w:sz w:val="20"/>
          <w:szCs w:val="20"/>
        </w:rPr>
      </w:pPr>
      <w:r w:rsidRPr="007124AA">
        <w:rPr>
          <w:rFonts w:cs="Times New Roman"/>
          <w:color w:val="000000" w:themeColor="text1"/>
          <w:szCs w:val="21"/>
        </w:rPr>
        <w:t xml:space="preserve">Email: </w:t>
      </w:r>
      <w:proofErr w:type="spellStart"/>
      <w:r w:rsidRPr="007124AA">
        <w:rPr>
          <w:rFonts w:cs="Times New Roman"/>
          <w:color w:val="000000" w:themeColor="text1"/>
          <w:szCs w:val="21"/>
        </w:rPr>
        <w:t>yinshuai@aircas.ac.cn</w:t>
      </w:r>
      <w:proofErr w:type="spellEnd"/>
    </w:p>
    <w:p w14:paraId="6F8470B6" w14:textId="77777777" w:rsidR="00773DAF" w:rsidRDefault="00773DAF" w:rsidP="00D8463C">
      <w:pPr>
        <w:adjustRightInd w:val="0"/>
        <w:snapToGrid w:val="0"/>
        <w:spacing w:before="156" w:after="156"/>
        <w:rPr>
          <w:rFonts w:cs="Times New Roman"/>
          <w:b/>
          <w:bCs/>
          <w:color w:val="000000" w:themeColor="text1"/>
          <w:sz w:val="20"/>
          <w:szCs w:val="20"/>
        </w:rPr>
      </w:pPr>
    </w:p>
    <w:p w14:paraId="564C563F" w14:textId="77777777" w:rsidR="00773DAF" w:rsidRDefault="00773DAF" w:rsidP="00D8463C">
      <w:pPr>
        <w:adjustRightInd w:val="0"/>
        <w:snapToGrid w:val="0"/>
        <w:spacing w:before="156" w:after="156"/>
        <w:rPr>
          <w:rFonts w:cs="Times New Roman"/>
          <w:b/>
          <w:bCs/>
          <w:color w:val="000000" w:themeColor="text1"/>
          <w:sz w:val="20"/>
          <w:szCs w:val="20"/>
        </w:rPr>
      </w:pPr>
    </w:p>
    <w:p w14:paraId="5FE46212" w14:textId="77777777" w:rsidR="007124AA" w:rsidRDefault="007124AA" w:rsidP="00D8463C">
      <w:pPr>
        <w:adjustRightInd w:val="0"/>
        <w:snapToGrid w:val="0"/>
        <w:spacing w:before="156" w:after="156"/>
        <w:rPr>
          <w:rFonts w:cs="Times New Roman"/>
          <w:b/>
          <w:bCs/>
          <w:color w:val="000000" w:themeColor="text1"/>
          <w:sz w:val="20"/>
          <w:szCs w:val="20"/>
        </w:rPr>
      </w:pPr>
    </w:p>
    <w:p w14:paraId="5662DA5D" w14:textId="77777777" w:rsidR="00773DAF" w:rsidRDefault="00773DAF" w:rsidP="00D8463C">
      <w:pPr>
        <w:adjustRightInd w:val="0"/>
        <w:snapToGrid w:val="0"/>
        <w:spacing w:before="156" w:after="156"/>
        <w:rPr>
          <w:rFonts w:cs="Times New Roman"/>
          <w:b/>
          <w:bCs/>
          <w:color w:val="000000" w:themeColor="text1"/>
          <w:sz w:val="20"/>
          <w:szCs w:val="20"/>
        </w:rPr>
      </w:pPr>
    </w:p>
    <w:p w14:paraId="096C2772" w14:textId="77777777" w:rsidR="00773DAF" w:rsidRDefault="00773DAF" w:rsidP="00D8463C">
      <w:pPr>
        <w:adjustRightInd w:val="0"/>
        <w:snapToGrid w:val="0"/>
        <w:spacing w:before="156" w:after="156"/>
        <w:rPr>
          <w:rFonts w:cs="Times New Roman"/>
          <w:b/>
          <w:bCs/>
          <w:color w:val="000000" w:themeColor="text1"/>
          <w:sz w:val="20"/>
          <w:szCs w:val="20"/>
        </w:rPr>
      </w:pPr>
    </w:p>
    <w:p w14:paraId="3771EE7E" w14:textId="77777777" w:rsidR="00773DAF" w:rsidRDefault="00773DAF" w:rsidP="00D8463C">
      <w:pPr>
        <w:adjustRightInd w:val="0"/>
        <w:snapToGrid w:val="0"/>
        <w:spacing w:before="156" w:after="156"/>
        <w:rPr>
          <w:rFonts w:cs="Times New Roman"/>
          <w:b/>
          <w:bCs/>
          <w:color w:val="000000" w:themeColor="text1"/>
          <w:sz w:val="20"/>
          <w:szCs w:val="20"/>
        </w:rPr>
      </w:pPr>
    </w:p>
    <w:p w14:paraId="7222E697" w14:textId="77777777" w:rsidR="00773DAF" w:rsidRDefault="00773DAF" w:rsidP="00D8463C">
      <w:pPr>
        <w:adjustRightInd w:val="0"/>
        <w:snapToGrid w:val="0"/>
        <w:spacing w:before="156" w:after="156"/>
        <w:rPr>
          <w:rFonts w:cs="Times New Roman"/>
          <w:b/>
          <w:bCs/>
          <w:color w:val="000000" w:themeColor="text1"/>
          <w:sz w:val="20"/>
          <w:szCs w:val="20"/>
        </w:rPr>
      </w:pPr>
    </w:p>
    <w:p w14:paraId="3C857F56" w14:textId="77777777" w:rsidR="00773DAF" w:rsidRDefault="00773DAF" w:rsidP="00D8463C">
      <w:pPr>
        <w:adjustRightInd w:val="0"/>
        <w:snapToGrid w:val="0"/>
        <w:spacing w:before="156" w:after="156"/>
        <w:rPr>
          <w:rFonts w:cs="Times New Roman"/>
          <w:b/>
          <w:bCs/>
          <w:color w:val="000000" w:themeColor="text1"/>
          <w:sz w:val="20"/>
          <w:szCs w:val="20"/>
        </w:rPr>
      </w:pPr>
    </w:p>
    <w:p w14:paraId="1A1F7666" w14:textId="77777777" w:rsidR="00773DAF" w:rsidRDefault="00773DAF" w:rsidP="00D8463C">
      <w:pPr>
        <w:adjustRightInd w:val="0"/>
        <w:snapToGrid w:val="0"/>
        <w:spacing w:before="156" w:after="156"/>
        <w:rPr>
          <w:rFonts w:cs="Times New Roman"/>
          <w:b/>
          <w:bCs/>
          <w:color w:val="000000" w:themeColor="text1"/>
          <w:sz w:val="20"/>
          <w:szCs w:val="20"/>
        </w:rPr>
      </w:pPr>
    </w:p>
    <w:p w14:paraId="63E1356E" w14:textId="77777777" w:rsidR="00773DAF" w:rsidRDefault="00773DAF" w:rsidP="00D8463C">
      <w:pPr>
        <w:adjustRightInd w:val="0"/>
        <w:snapToGrid w:val="0"/>
        <w:spacing w:before="156" w:after="156"/>
        <w:rPr>
          <w:rFonts w:cs="Times New Roman"/>
          <w:b/>
          <w:bCs/>
          <w:color w:val="000000" w:themeColor="text1"/>
          <w:sz w:val="20"/>
          <w:szCs w:val="20"/>
        </w:rPr>
      </w:pPr>
    </w:p>
    <w:p w14:paraId="7BEABF46" w14:textId="440DE399" w:rsidR="00D8463C" w:rsidRPr="00B55CF5" w:rsidRDefault="00D8463C" w:rsidP="00D8463C">
      <w:pPr>
        <w:adjustRightInd w:val="0"/>
        <w:snapToGrid w:val="0"/>
        <w:spacing w:before="156" w:after="156"/>
        <w:rPr>
          <w:rFonts w:cs="Times New Roman"/>
          <w:b/>
          <w:bCs/>
          <w:color w:val="000000" w:themeColor="text1"/>
          <w:sz w:val="20"/>
          <w:szCs w:val="20"/>
        </w:rPr>
      </w:pPr>
      <w:r w:rsidRPr="00B55CF5">
        <w:rPr>
          <w:rFonts w:cs="Times New Roman"/>
          <w:b/>
          <w:bCs/>
          <w:color w:val="000000" w:themeColor="text1"/>
          <w:sz w:val="20"/>
          <w:szCs w:val="20"/>
        </w:rPr>
        <w:t>Responds to the reviewer’s comments:</w:t>
      </w:r>
    </w:p>
    <w:p w14:paraId="77B8DEE8" w14:textId="77777777" w:rsidR="00D8463C" w:rsidRPr="00B55CF5" w:rsidRDefault="00D8463C" w:rsidP="00D8463C">
      <w:pPr>
        <w:adjustRightInd w:val="0"/>
        <w:snapToGrid w:val="0"/>
        <w:spacing w:before="156" w:after="156"/>
        <w:rPr>
          <w:rFonts w:cs="Times New Roman"/>
          <w:b/>
          <w:bCs/>
          <w:color w:val="000000" w:themeColor="text1"/>
          <w:sz w:val="20"/>
          <w:szCs w:val="20"/>
        </w:rPr>
      </w:pPr>
      <w:r w:rsidRPr="00B55CF5">
        <w:rPr>
          <w:rFonts w:cs="Times New Roman"/>
          <w:b/>
          <w:bCs/>
          <w:color w:val="000000" w:themeColor="text1"/>
          <w:sz w:val="20"/>
          <w:szCs w:val="20"/>
        </w:rPr>
        <w:t>-------------------------------------------------------------------------------------------</w:t>
      </w:r>
    </w:p>
    <w:p w14:paraId="0A4C5B80" w14:textId="77777777" w:rsidR="00D8463C" w:rsidRDefault="00D8463C" w:rsidP="00D8463C">
      <w:pPr>
        <w:adjustRightInd w:val="0"/>
        <w:snapToGrid w:val="0"/>
        <w:spacing w:before="156" w:after="156"/>
        <w:rPr>
          <w:rFonts w:cs="Times New Roman"/>
          <w:b/>
          <w:bCs/>
          <w:color w:val="000000" w:themeColor="text1"/>
          <w:sz w:val="20"/>
          <w:szCs w:val="20"/>
        </w:rPr>
      </w:pPr>
      <w:r w:rsidRPr="00B55CF5">
        <w:rPr>
          <w:rFonts w:cs="Times New Roman"/>
          <w:b/>
          <w:bCs/>
          <w:color w:val="000000" w:themeColor="text1"/>
          <w:sz w:val="20"/>
          <w:szCs w:val="20"/>
        </w:rPr>
        <w:t>Reviewer #</w:t>
      </w:r>
      <w:r>
        <w:rPr>
          <w:rFonts w:cs="Times New Roman"/>
          <w:b/>
          <w:bCs/>
          <w:color w:val="000000" w:themeColor="text1"/>
          <w:sz w:val="20"/>
          <w:szCs w:val="20"/>
        </w:rPr>
        <w:t>1</w:t>
      </w:r>
      <w:r w:rsidRPr="00B55CF5">
        <w:rPr>
          <w:rFonts w:cs="Times New Roman"/>
          <w:b/>
          <w:bCs/>
          <w:color w:val="000000" w:themeColor="text1"/>
          <w:sz w:val="20"/>
          <w:szCs w:val="20"/>
        </w:rPr>
        <w:t>:</w:t>
      </w:r>
    </w:p>
    <w:bookmarkEnd w:id="0"/>
    <w:p w14:paraId="6C2B7224" w14:textId="211696DE" w:rsidR="00D8463C" w:rsidRPr="00D8463C" w:rsidRDefault="00D8463C" w:rsidP="00D8463C">
      <w:pPr>
        <w:spacing w:before="156" w:after="156"/>
      </w:pPr>
      <w:r w:rsidRPr="00D8463C">
        <w:t>This study presents a new framework (</w:t>
      </w:r>
      <w:proofErr w:type="spellStart"/>
      <w:r w:rsidRPr="00D8463C">
        <w:t>MBEI</w:t>
      </w:r>
      <w:proofErr w:type="spellEnd"/>
      <w:r w:rsidRPr="00D8463C">
        <w:t>) that integrates top-down and bottom-up algorithms by combining two fire-detection products with four sets of key input variables, yielding eight distinct sub-inventories of biomass-burning emissions. Compared to existing inventories, these new datasets uniquely provide the maximum–minimum range of all eight sub-inventories, thereby quantifying estimation uncertainty. This rich information allows data users to directly incorporate sensitivity analyses into their own studies and thus provides critical support for exploring complex global biomass-burning dynamics. The paper is well written and offers new insight into biomass-burning research. However, a few points need to be addressed. Therefore, I recommend that the manuscript be accepted for publication after a revision.</w:t>
      </w:r>
    </w:p>
    <w:p w14:paraId="381C90BC" w14:textId="7AA68D93" w:rsidR="00D8463C" w:rsidRPr="00D8463C" w:rsidRDefault="00D8463C" w:rsidP="00D8463C">
      <w:pPr>
        <w:spacing w:before="156" w:after="156"/>
      </w:pPr>
      <w:r w:rsidRPr="00D8463C">
        <w:t>Major concerns:</w:t>
      </w:r>
    </w:p>
    <w:p w14:paraId="1DB463DB" w14:textId="1A4AEE8D" w:rsidR="00D8463C" w:rsidRPr="00D8463C" w:rsidRDefault="00D8463C" w:rsidP="00D8463C">
      <w:pPr>
        <w:spacing w:before="156" w:after="156"/>
      </w:pPr>
      <w:r>
        <w:rPr>
          <w:rFonts w:hint="eastAsia"/>
        </w:rPr>
        <w:t xml:space="preserve">1. </w:t>
      </w:r>
      <w:r w:rsidRPr="00D8463C">
        <w:t>Although the new dataset includes eight groups of sub-inventories, the mean values and uncertainty information (e.g., standard deviation, minimum, and maximum) for these ensemble inventories are not provided at the pixel scale. I suggest that the authors calculate these statistics on a per-pixel basis and include them in the dataset. This information is highly valuable to data users and should be made publicly available.</w:t>
      </w:r>
    </w:p>
    <w:p w14:paraId="31FD1EDB" w14:textId="33A051BC" w:rsidR="00E6708D" w:rsidRDefault="00D8463C" w:rsidP="00D8463C">
      <w:pPr>
        <w:spacing w:before="156" w:after="156"/>
      </w:pPr>
      <w:r w:rsidRPr="00D8463C">
        <w:rPr>
          <w:b/>
          <w:bCs/>
        </w:rPr>
        <w:t xml:space="preserve">Response: </w:t>
      </w:r>
      <w:r w:rsidR="00E6708D">
        <w:t>We sincerely thank the reviewer for this highly constructive suggestion regarding the accessibility of pixel-scale uncertainty information. We fully acknowledge that while the generation of eight independent sub-inventories constitutes the structural core of our ensemble framework, the practical utility of this dataset for downstream applications—such as atmospheric transport modeling and air quality assessment—relies heavily on the availability of synthesized statistical metrics at the grid scale. Providing the raw sub-inventories alone places an unnecessary computational burden on the user, whereas pre-calculated ensemble statistics provide immediate, actionable insight into the spatial reliability and variance of the emission estimates.</w:t>
      </w:r>
      <w:r w:rsidR="000962E1">
        <w:rPr>
          <w:rFonts w:hint="eastAsia"/>
        </w:rPr>
        <w:t xml:space="preserve"> </w:t>
      </w:r>
      <w:r w:rsidR="000962E1" w:rsidRPr="000962E1">
        <w:t>The dataset is publicly available at https://</w:t>
      </w:r>
      <w:proofErr w:type="spellStart"/>
      <w:r w:rsidR="000962E1" w:rsidRPr="000962E1">
        <w:t>doi.org</w:t>
      </w:r>
      <w:proofErr w:type="spellEnd"/>
      <w:r w:rsidR="000962E1" w:rsidRPr="000962E1">
        <w:t>/10.5281/</w:t>
      </w:r>
      <w:proofErr w:type="spellStart"/>
      <w:r w:rsidR="000962E1" w:rsidRPr="000962E1">
        <w:t>zenodo.18104830</w:t>
      </w:r>
      <w:proofErr w:type="spellEnd"/>
      <w:r w:rsidR="000962E1" w:rsidRPr="000962E1">
        <w:t>.</w:t>
      </w:r>
    </w:p>
    <w:p w14:paraId="56958D33" w14:textId="4711373D" w:rsidR="00E6708D" w:rsidRDefault="00E6708D" w:rsidP="00E6708D">
      <w:pPr>
        <w:spacing w:before="156" w:after="156"/>
      </w:pPr>
      <w:r>
        <w:lastRenderedPageBreak/>
        <w:t xml:space="preserve">In direct response to this recommendation, we have rigorously post-processed the ensemble outputs to include pixel-level statistics for the entire study period (2003–2023). Specifically, for every 0.1° × 0.1° grid cell and for each month, we have calculated the ensemble mean to serve as the central estimate, along with the standard deviation to represent algorithmic dispersion, and the maximum and minimum values to define the full uncertainty range. These four statistical layers have been integrated into the updated </w:t>
      </w:r>
      <w:proofErr w:type="spellStart"/>
      <w:r>
        <w:t>MBEI</w:t>
      </w:r>
      <w:proofErr w:type="spellEnd"/>
      <w:r>
        <w:t xml:space="preserve"> dataset structure and are now publicly accessible via the repository link provided in the Data Availability section. This enhancement ensures that users can seamlessly incorporate both the central emission estimates and their associated uncertainty bounds into their analyses without needing to reconstruct the ensemble statistics manually.</w:t>
      </w:r>
    </w:p>
    <w:p w14:paraId="1B44D60E" w14:textId="174EDA16" w:rsidR="00791A5F" w:rsidRDefault="00E6708D" w:rsidP="00E6708D">
      <w:pPr>
        <w:spacing w:before="156" w:after="156"/>
      </w:pPr>
      <w:r>
        <w:t xml:space="preserve">Correspondingly, we have revised the manuscript to formally document this major improvement in data provision. As detailed in the updated introduction of Section 2.2, the description of the </w:t>
      </w:r>
      <w:proofErr w:type="spellStart"/>
      <w:r>
        <w:t>MBEI</w:t>
      </w:r>
      <w:proofErr w:type="spellEnd"/>
      <w:r>
        <w:t xml:space="preserve"> framework has been refined to explicitly state that the final dataset output includes these pixel-level ensemble statistics. We emphasize in the revised text that rather than obscuring differences through data fusion, the </w:t>
      </w:r>
      <w:proofErr w:type="spellStart"/>
      <w:r>
        <w:t>MBEI</w:t>
      </w:r>
      <w:proofErr w:type="spellEnd"/>
      <w:r>
        <w:t xml:space="preserve"> leverages the ensemble spread to define the uncertainty bounds, specifically providing "the ensemble mean as the central estimate, while delineating the uncertainty envelope through two metrics: the standard deviation, representing dispersion, and the maximum and minimum bounds, defining the uncertainty range." Furthermore, we have updated Table 2 to list these statistical metrics as integral components of the final dataset, and the workflow illustrated in Figure 1 has been modified to visually depict the aggregation of the eight sub-inventories into these final statistical layers</w:t>
      </w:r>
      <w:r w:rsidR="007D4468">
        <w:t>.</w:t>
      </w:r>
    </w:p>
    <w:p w14:paraId="46C9A9E1" w14:textId="77777777" w:rsidR="00E6708D" w:rsidRDefault="00E6708D" w:rsidP="00E6708D">
      <w:pPr>
        <w:spacing w:before="156" w:after="156" w:line="240" w:lineRule="auto"/>
      </w:pPr>
      <w:r w:rsidRPr="008E35B6">
        <w:t>Please refer to Page 10, Lines 243-252 and the following is the revised manuscript:</w:t>
      </w:r>
    </w:p>
    <w:p w14:paraId="4187021E" w14:textId="77777777" w:rsidR="00E6708D" w:rsidRPr="00EE0F9C" w:rsidRDefault="00E6708D" w:rsidP="00E6708D">
      <w:pPr>
        <w:spacing w:before="156" w:after="156"/>
        <w:rPr>
          <w:color w:val="215E99" w:themeColor="text2" w:themeTint="BF"/>
        </w:rPr>
      </w:pPr>
      <w:r w:rsidRPr="00EE0F9C">
        <w:rPr>
          <w:color w:val="215E99" w:themeColor="text2" w:themeTint="BF"/>
        </w:rPr>
        <w:t xml:space="preserve">To quantify global biomass burning emissions and their associated uncertainties, we constructed the </w:t>
      </w:r>
      <w:proofErr w:type="spellStart"/>
      <w:r w:rsidRPr="00EE0F9C">
        <w:rPr>
          <w:color w:val="215E99" w:themeColor="text2" w:themeTint="BF"/>
        </w:rPr>
        <w:t>MBEI</w:t>
      </w:r>
      <w:proofErr w:type="spellEnd"/>
      <w:r w:rsidRPr="00EE0F9C">
        <w:rPr>
          <w:color w:val="215E99" w:themeColor="text2" w:themeTint="BF"/>
        </w:rPr>
        <w:t xml:space="preserve"> using a multi-source ensemble framework. Unlike conventional approaches that rely on a single algorithm, this framework operates by generating an ensemble of eight independent sub-inventories (see Table 2). This design is explicitly structured to capture the structural uncertainty stemming from the fundamental mechanistic discrepancies between bottom-up (burned area-based) and top-down (fire radiative power-based) methodologies. Rather than obscuring these differences through data fusion, the </w:t>
      </w:r>
      <w:proofErr w:type="spellStart"/>
      <w:r w:rsidRPr="00EE0F9C">
        <w:rPr>
          <w:color w:val="215E99" w:themeColor="text2" w:themeTint="BF"/>
        </w:rPr>
        <w:t>MBEI</w:t>
      </w:r>
      <w:proofErr w:type="spellEnd"/>
      <w:r w:rsidRPr="00EE0F9C">
        <w:rPr>
          <w:color w:val="215E99" w:themeColor="text2" w:themeTint="BF"/>
        </w:rPr>
        <w:t xml:space="preserve"> leverages them to define the uncertainty bounds of the estimates. Consequently, for each 0.1° grid cell, we provide the ensemble mean as the central estimate, while </w:t>
      </w:r>
      <w:r w:rsidRPr="00EE0F9C">
        <w:rPr>
          <w:color w:val="215E99" w:themeColor="text2" w:themeTint="BF"/>
        </w:rPr>
        <w:lastRenderedPageBreak/>
        <w:t xml:space="preserve">delineating the uncertainty envelope through two metrics: the standard deviation, representing dispersion, and the maximum and minimum bounds, defining the uncertainty </w:t>
      </w:r>
      <w:r>
        <w:rPr>
          <w:rFonts w:hint="eastAsia"/>
          <w:color w:val="215E99" w:themeColor="text2" w:themeTint="BF"/>
        </w:rPr>
        <w:t>range</w:t>
      </w:r>
      <w:r w:rsidRPr="00EE0F9C">
        <w:rPr>
          <w:color w:val="215E99" w:themeColor="text2" w:themeTint="BF"/>
        </w:rPr>
        <w:t>. The overall workflow is illustrated in Fig. 1.</w:t>
      </w:r>
    </w:p>
    <w:p w14:paraId="73690985" w14:textId="77777777" w:rsidR="00E6708D" w:rsidRDefault="00E6708D" w:rsidP="00E6708D">
      <w:pPr>
        <w:spacing w:before="156" w:after="156" w:line="240" w:lineRule="auto"/>
      </w:pPr>
      <w:r w:rsidRPr="008E35B6">
        <w:t xml:space="preserve">Please </w:t>
      </w:r>
      <w:r>
        <w:rPr>
          <w:rFonts w:hint="eastAsia"/>
        </w:rPr>
        <w:t>r</w:t>
      </w:r>
      <w:r w:rsidRPr="008E35B6">
        <w:t xml:space="preserve">efer to Fig. </w:t>
      </w:r>
      <w:r>
        <w:rPr>
          <w:rFonts w:hint="eastAsia"/>
        </w:rPr>
        <w:t>1</w:t>
      </w:r>
      <w:r w:rsidRPr="008E35B6">
        <w:t xml:space="preserve"> </w:t>
      </w:r>
      <w:r>
        <w:rPr>
          <w:rFonts w:hint="eastAsia"/>
        </w:rPr>
        <w:t>and Table 2:</w:t>
      </w:r>
    </w:p>
    <w:p w14:paraId="1F9F1E3E" w14:textId="77777777" w:rsidR="00E6708D" w:rsidRDefault="00E6708D" w:rsidP="00E6708D">
      <w:pPr>
        <w:spacing w:before="156" w:after="156" w:line="240" w:lineRule="auto"/>
      </w:pPr>
      <w:r>
        <w:rPr>
          <w:noProof/>
        </w:rPr>
        <w:drawing>
          <wp:inline distT="0" distB="0" distL="0" distR="0" wp14:anchorId="2D8FEF90" wp14:editId="05E63B29">
            <wp:extent cx="5170761" cy="5200650"/>
            <wp:effectExtent l="0" t="0" r="0" b="0"/>
            <wp:docPr id="131080826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170761" cy="5200650"/>
                    </a:xfrm>
                    <a:prstGeom prst="rect">
                      <a:avLst/>
                    </a:prstGeom>
                    <a:noFill/>
                    <a:ln>
                      <a:noFill/>
                    </a:ln>
                  </pic:spPr>
                </pic:pic>
              </a:graphicData>
            </a:graphic>
          </wp:inline>
        </w:drawing>
      </w:r>
    </w:p>
    <w:p w14:paraId="3657EBCB" w14:textId="77777777" w:rsidR="00E6708D" w:rsidRDefault="00E6708D" w:rsidP="00E6708D">
      <w:pPr>
        <w:widowControl/>
        <w:spacing w:beforeLines="0" w:before="0" w:afterLines="0" w:after="200" w:line="240" w:lineRule="auto"/>
        <w:rPr>
          <w:rFonts w:eastAsiaTheme="minorEastAsia" w:cs="Times New Roman"/>
          <w:b/>
          <w:bCs/>
          <w:sz w:val="18"/>
          <w:lang w:bidi="ar-SA"/>
        </w:rPr>
      </w:pPr>
      <w:r w:rsidRPr="00A20E69">
        <w:rPr>
          <w:rFonts w:eastAsia="Times New Roman" w:cs="Times New Roman"/>
          <w:b/>
          <w:bCs/>
          <w:sz w:val="18"/>
          <w:lang w:bidi="ar-SA"/>
        </w:rPr>
        <w:t xml:space="preserve">Figure </w:t>
      </w:r>
      <w:proofErr w:type="spellStart"/>
      <w:r w:rsidRPr="00A20E69">
        <w:rPr>
          <w:rFonts w:eastAsia="Times New Roman" w:cs="Times New Roman"/>
          <w:b/>
          <w:bCs/>
          <w:sz w:val="18"/>
          <w:lang w:bidi="ar-SA"/>
        </w:rPr>
        <w:t>1</w:t>
      </w:r>
      <w:r w:rsidRPr="00A20E69">
        <w:rPr>
          <w:rFonts w:ascii="宋体" w:hAnsi="宋体" w:cs="宋体"/>
          <w:b/>
          <w:bCs/>
          <w:sz w:val="18"/>
          <w:lang w:bidi="ar-SA"/>
        </w:rPr>
        <w:t>.</w:t>
      </w:r>
      <w:r w:rsidRPr="00A20E69">
        <w:rPr>
          <w:rFonts w:eastAsia="等线" w:cs="Times New Roman" w:hint="eastAsia"/>
          <w:b/>
          <w:bCs/>
          <w:sz w:val="18"/>
          <w:lang w:bidi="ar-SA"/>
        </w:rPr>
        <w:t>F</w:t>
      </w:r>
      <w:r w:rsidRPr="00A20E69">
        <w:rPr>
          <w:rFonts w:eastAsia="Times New Roman" w:cs="Times New Roman"/>
          <w:b/>
          <w:bCs/>
          <w:sz w:val="18"/>
          <w:lang w:bidi="ar-SA"/>
        </w:rPr>
        <w:t>ramework</w:t>
      </w:r>
      <w:proofErr w:type="spellEnd"/>
      <w:r w:rsidRPr="00A20E69">
        <w:rPr>
          <w:rFonts w:eastAsia="Times New Roman" w:cs="Times New Roman"/>
          <w:b/>
          <w:bCs/>
          <w:sz w:val="18"/>
          <w:lang w:bidi="ar-SA"/>
        </w:rPr>
        <w:t xml:space="preserve"> </w:t>
      </w:r>
      <w:r w:rsidRPr="00A20E69">
        <w:rPr>
          <w:rFonts w:eastAsia="等线" w:cs="Times New Roman" w:hint="eastAsia"/>
          <w:b/>
          <w:bCs/>
          <w:sz w:val="18"/>
          <w:lang w:bidi="ar-SA"/>
        </w:rPr>
        <w:t>for</w:t>
      </w:r>
      <w:r w:rsidRPr="00A20E69">
        <w:rPr>
          <w:rFonts w:eastAsia="Times New Roman" w:cs="Times New Roman"/>
          <w:b/>
          <w:bCs/>
          <w:sz w:val="18"/>
          <w:lang w:bidi="ar-SA"/>
        </w:rPr>
        <w:t xml:space="preserve"> the </w:t>
      </w:r>
      <w:r w:rsidRPr="00A20E69">
        <w:rPr>
          <w:rFonts w:eastAsia="等线" w:cs="Times New Roman"/>
          <w:b/>
          <w:bCs/>
          <w:sz w:val="18"/>
          <w:lang w:bidi="ar-SA"/>
        </w:rPr>
        <w:t>construction</w:t>
      </w:r>
      <w:r w:rsidRPr="00A20E69">
        <w:rPr>
          <w:rFonts w:eastAsia="等线" w:cs="Times New Roman" w:hint="eastAsia"/>
          <w:b/>
          <w:bCs/>
          <w:sz w:val="18"/>
          <w:lang w:bidi="ar-SA"/>
        </w:rPr>
        <w:t xml:space="preserve"> of </w:t>
      </w:r>
      <w:proofErr w:type="spellStart"/>
      <w:r w:rsidRPr="00A20E69">
        <w:rPr>
          <w:rFonts w:eastAsia="Times New Roman" w:cs="Times New Roman" w:hint="eastAsia"/>
          <w:b/>
          <w:bCs/>
          <w:sz w:val="18"/>
          <w:lang w:bidi="ar-SA"/>
        </w:rPr>
        <w:t>MBEI</w:t>
      </w:r>
      <w:proofErr w:type="spellEnd"/>
      <w:r w:rsidRPr="00A20E69">
        <w:rPr>
          <w:rFonts w:eastAsia="Times New Roman" w:cs="Times New Roman"/>
          <w:b/>
          <w:bCs/>
          <w:sz w:val="18"/>
          <w:lang w:bidi="ar-SA"/>
        </w:rPr>
        <w:t>.</w:t>
      </w:r>
    </w:p>
    <w:p w14:paraId="65FD9838" w14:textId="77777777" w:rsidR="00E6708D" w:rsidRDefault="00E6708D" w:rsidP="00E6708D">
      <w:pPr>
        <w:widowControl/>
        <w:spacing w:beforeLines="0" w:before="0" w:afterLines="0" w:after="200" w:line="240" w:lineRule="auto"/>
        <w:rPr>
          <w:rFonts w:eastAsiaTheme="minorEastAsia" w:cs="Times New Roman"/>
          <w:b/>
          <w:bCs/>
          <w:sz w:val="18"/>
          <w:lang w:bidi="ar-SA"/>
        </w:rPr>
      </w:pPr>
    </w:p>
    <w:p w14:paraId="6AF40A82" w14:textId="77777777" w:rsidR="00A16A16" w:rsidRDefault="00A16A16" w:rsidP="00E6708D">
      <w:pPr>
        <w:widowControl/>
        <w:spacing w:beforeLines="0" w:before="0" w:afterLines="0" w:after="200" w:line="240" w:lineRule="auto"/>
        <w:rPr>
          <w:rFonts w:eastAsiaTheme="minorEastAsia" w:cs="Times New Roman"/>
          <w:b/>
          <w:bCs/>
          <w:sz w:val="18"/>
          <w:lang w:bidi="ar-SA"/>
        </w:rPr>
      </w:pPr>
    </w:p>
    <w:p w14:paraId="63019884" w14:textId="77777777" w:rsidR="00A16A16" w:rsidRDefault="00A16A16" w:rsidP="00E6708D">
      <w:pPr>
        <w:widowControl/>
        <w:spacing w:beforeLines="0" w:before="0" w:afterLines="0" w:after="200" w:line="240" w:lineRule="auto"/>
        <w:rPr>
          <w:rFonts w:eastAsiaTheme="minorEastAsia" w:cs="Times New Roman"/>
          <w:b/>
          <w:bCs/>
          <w:sz w:val="18"/>
          <w:lang w:bidi="ar-SA"/>
        </w:rPr>
      </w:pPr>
    </w:p>
    <w:p w14:paraId="2343C5CD" w14:textId="77777777" w:rsidR="00A16A16" w:rsidRDefault="00A16A16" w:rsidP="00E6708D">
      <w:pPr>
        <w:widowControl/>
        <w:spacing w:beforeLines="0" w:before="0" w:afterLines="0" w:after="200" w:line="240" w:lineRule="auto"/>
        <w:rPr>
          <w:rFonts w:eastAsiaTheme="minorEastAsia" w:cs="Times New Roman"/>
          <w:b/>
          <w:bCs/>
          <w:sz w:val="18"/>
          <w:lang w:bidi="ar-SA"/>
        </w:rPr>
      </w:pPr>
    </w:p>
    <w:p w14:paraId="24D52A85" w14:textId="77777777" w:rsidR="00A16A16" w:rsidRDefault="00A16A16" w:rsidP="00E6708D">
      <w:pPr>
        <w:widowControl/>
        <w:spacing w:beforeLines="0" w:before="0" w:afterLines="0" w:after="200" w:line="240" w:lineRule="auto"/>
        <w:rPr>
          <w:rFonts w:eastAsiaTheme="minorEastAsia" w:cs="Times New Roman"/>
          <w:b/>
          <w:bCs/>
          <w:sz w:val="18"/>
          <w:lang w:bidi="ar-SA"/>
        </w:rPr>
      </w:pPr>
    </w:p>
    <w:p w14:paraId="74D7B487" w14:textId="77777777" w:rsidR="00A16A16" w:rsidRDefault="00A16A16" w:rsidP="00E6708D">
      <w:pPr>
        <w:widowControl/>
        <w:spacing w:beforeLines="0" w:before="0" w:afterLines="0" w:after="200" w:line="240" w:lineRule="auto"/>
        <w:rPr>
          <w:rFonts w:eastAsiaTheme="minorEastAsia" w:cs="Times New Roman"/>
          <w:b/>
          <w:bCs/>
          <w:sz w:val="18"/>
          <w:lang w:bidi="ar-SA"/>
        </w:rPr>
      </w:pPr>
    </w:p>
    <w:p w14:paraId="2DB80ACF" w14:textId="77777777" w:rsidR="00A16A16" w:rsidRPr="00A20E69" w:rsidRDefault="00A16A16" w:rsidP="00E6708D">
      <w:pPr>
        <w:widowControl/>
        <w:spacing w:beforeLines="0" w:before="0" w:afterLines="0" w:after="200" w:line="240" w:lineRule="auto"/>
        <w:rPr>
          <w:rFonts w:eastAsiaTheme="minorEastAsia" w:cs="Times New Roman"/>
          <w:b/>
          <w:bCs/>
          <w:sz w:val="18"/>
          <w:lang w:bidi="ar-SA"/>
        </w:rPr>
      </w:pPr>
    </w:p>
    <w:p w14:paraId="4CC59581" w14:textId="77777777" w:rsidR="00E6708D" w:rsidRPr="00A20E69" w:rsidRDefault="00E6708D" w:rsidP="00E6708D">
      <w:pPr>
        <w:widowControl/>
        <w:spacing w:beforeLines="0" w:before="0" w:afterLines="0" w:after="200" w:line="240" w:lineRule="auto"/>
        <w:jc w:val="center"/>
        <w:rPr>
          <w:rFonts w:eastAsia="Times New Roman" w:cs="Times New Roman"/>
          <w:b/>
          <w:bCs/>
          <w:sz w:val="20"/>
          <w:szCs w:val="20"/>
          <w:lang w:bidi="ar-SA"/>
        </w:rPr>
      </w:pPr>
      <w:r w:rsidRPr="00A20E69">
        <w:rPr>
          <w:rFonts w:eastAsia="Times New Roman" w:cs="Times New Roman"/>
          <w:b/>
          <w:bCs/>
          <w:sz w:val="20"/>
          <w:szCs w:val="20"/>
          <w:lang w:bidi="ar-SA"/>
        </w:rPr>
        <w:t xml:space="preserve">Table 2. </w:t>
      </w:r>
      <w:r w:rsidRPr="00A20E69">
        <w:rPr>
          <w:rFonts w:eastAsia="等线" w:cs="Times New Roman"/>
          <w:b/>
          <w:bCs/>
          <w:sz w:val="20"/>
          <w:szCs w:val="20"/>
          <w:lang w:bidi="ar-SA"/>
        </w:rPr>
        <w:t>The detail of</w:t>
      </w:r>
      <w:r w:rsidRPr="00A20E69">
        <w:rPr>
          <w:rFonts w:eastAsia="Times New Roman" w:cs="Times New Roman"/>
          <w:b/>
          <w:bCs/>
          <w:sz w:val="20"/>
          <w:szCs w:val="20"/>
          <w:lang w:bidi="ar-SA"/>
        </w:rPr>
        <w:t xml:space="preserve"> the eight biomass burning emission sub-inventories.</w:t>
      </w:r>
    </w:p>
    <w:tbl>
      <w:tblPr>
        <w:tblStyle w:val="af7"/>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7"/>
        <w:gridCol w:w="1375"/>
        <w:gridCol w:w="1414"/>
        <w:gridCol w:w="1378"/>
        <w:gridCol w:w="1376"/>
        <w:gridCol w:w="1376"/>
      </w:tblGrid>
      <w:tr w:rsidR="00E6708D" w:rsidRPr="00A20E69" w14:paraId="19B53747" w14:textId="77777777" w:rsidTr="004A7EDC">
        <w:tc>
          <w:tcPr>
            <w:tcW w:w="4166" w:type="dxa"/>
            <w:gridSpan w:val="3"/>
            <w:tcBorders>
              <w:top w:val="single" w:sz="4" w:space="0" w:color="auto"/>
              <w:bottom w:val="single" w:sz="4" w:space="0" w:color="auto"/>
            </w:tcBorders>
          </w:tcPr>
          <w:p w14:paraId="530544B0"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4 Bottom-Up Inventories</w:t>
            </w:r>
          </w:p>
        </w:tc>
        <w:tc>
          <w:tcPr>
            <w:tcW w:w="4130" w:type="dxa"/>
            <w:gridSpan w:val="3"/>
            <w:tcBorders>
              <w:top w:val="single" w:sz="4" w:space="0" w:color="auto"/>
              <w:bottom w:val="single" w:sz="4" w:space="0" w:color="auto"/>
            </w:tcBorders>
          </w:tcPr>
          <w:p w14:paraId="0C28F114"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4 Top-Down Inventories</w:t>
            </w:r>
          </w:p>
        </w:tc>
      </w:tr>
      <w:tr w:rsidR="00E6708D" w:rsidRPr="00A20E69" w14:paraId="01216FC7" w14:textId="77777777" w:rsidTr="004A7EDC">
        <w:tc>
          <w:tcPr>
            <w:tcW w:w="1377" w:type="dxa"/>
            <w:tcBorders>
              <w:top w:val="single" w:sz="4" w:space="0" w:color="auto"/>
              <w:bottom w:val="single" w:sz="4" w:space="0" w:color="auto"/>
            </w:tcBorders>
          </w:tcPr>
          <w:p w14:paraId="58165C4F"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Name</w:t>
            </w:r>
          </w:p>
        </w:tc>
        <w:tc>
          <w:tcPr>
            <w:tcW w:w="1375" w:type="dxa"/>
            <w:tcBorders>
              <w:top w:val="single" w:sz="4" w:space="0" w:color="auto"/>
              <w:bottom w:val="single" w:sz="4" w:space="0" w:color="auto"/>
            </w:tcBorders>
          </w:tcPr>
          <w:p w14:paraId="6CE02168"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Confidence Level</w:t>
            </w:r>
          </w:p>
        </w:tc>
        <w:tc>
          <w:tcPr>
            <w:tcW w:w="1414" w:type="dxa"/>
            <w:tcBorders>
              <w:top w:val="single" w:sz="4" w:space="0" w:color="auto"/>
              <w:bottom w:val="single" w:sz="4" w:space="0" w:color="auto"/>
            </w:tcBorders>
          </w:tcPr>
          <w:p w14:paraId="6D6E8365"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Datasets</w:t>
            </w:r>
          </w:p>
        </w:tc>
        <w:tc>
          <w:tcPr>
            <w:tcW w:w="1378" w:type="dxa"/>
            <w:tcBorders>
              <w:top w:val="single" w:sz="4" w:space="0" w:color="auto"/>
              <w:bottom w:val="single" w:sz="4" w:space="0" w:color="auto"/>
            </w:tcBorders>
          </w:tcPr>
          <w:p w14:paraId="43B3BA32"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hint="eastAsia"/>
                <w:sz w:val="18"/>
                <w:szCs w:val="18"/>
                <w:lang w:bidi="ar-SA"/>
              </w:rPr>
              <w:t>Name</w:t>
            </w:r>
          </w:p>
        </w:tc>
        <w:tc>
          <w:tcPr>
            <w:tcW w:w="1376" w:type="dxa"/>
            <w:tcBorders>
              <w:top w:val="single" w:sz="4" w:space="0" w:color="auto"/>
              <w:bottom w:val="single" w:sz="4" w:space="0" w:color="auto"/>
            </w:tcBorders>
          </w:tcPr>
          <w:p w14:paraId="60FAD76B"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Confidence Level</w:t>
            </w:r>
          </w:p>
        </w:tc>
        <w:tc>
          <w:tcPr>
            <w:tcW w:w="1376" w:type="dxa"/>
            <w:tcBorders>
              <w:top w:val="single" w:sz="4" w:space="0" w:color="auto"/>
              <w:bottom w:val="single" w:sz="4" w:space="0" w:color="auto"/>
            </w:tcBorders>
          </w:tcPr>
          <w:p w14:paraId="12271A1C"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Datasets</w:t>
            </w:r>
          </w:p>
        </w:tc>
      </w:tr>
      <w:tr w:rsidR="00E6708D" w:rsidRPr="00A20E69" w14:paraId="11D27F9C" w14:textId="77777777" w:rsidTr="004A7EDC">
        <w:tc>
          <w:tcPr>
            <w:tcW w:w="1377" w:type="dxa"/>
            <w:tcBorders>
              <w:top w:val="single" w:sz="4" w:space="0" w:color="auto"/>
            </w:tcBorders>
          </w:tcPr>
          <w:p w14:paraId="7AC9E355"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BU-AC-GB</w:t>
            </w:r>
          </w:p>
        </w:tc>
        <w:tc>
          <w:tcPr>
            <w:tcW w:w="1375" w:type="dxa"/>
            <w:tcBorders>
              <w:top w:val="single" w:sz="4" w:space="0" w:color="auto"/>
            </w:tcBorders>
          </w:tcPr>
          <w:p w14:paraId="2E231D02"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All Confidence</w:t>
            </w:r>
          </w:p>
        </w:tc>
        <w:tc>
          <w:tcPr>
            <w:tcW w:w="1414" w:type="dxa"/>
            <w:tcBorders>
              <w:top w:val="single" w:sz="4" w:space="0" w:color="auto"/>
            </w:tcBorders>
          </w:tcPr>
          <w:p w14:paraId="141C8EC0"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proofErr w:type="spellStart"/>
            <w:r w:rsidRPr="00A20E69">
              <w:rPr>
                <w:rFonts w:eastAsia="Times New Roman" w:hint="eastAsia"/>
                <w:sz w:val="18"/>
                <w:szCs w:val="18"/>
                <w:lang w:bidi="ar-SA"/>
              </w:rPr>
              <w:t>GlobBiomass</w:t>
            </w:r>
            <w:proofErr w:type="spellEnd"/>
            <w:r w:rsidRPr="00A20E69">
              <w:rPr>
                <w:rFonts w:eastAsia="Times New Roman"/>
                <w:sz w:val="18"/>
                <w:szCs w:val="18"/>
                <w:lang w:bidi="ar-SA"/>
              </w:rPr>
              <w:t xml:space="preserve"> </w:t>
            </w:r>
          </w:p>
        </w:tc>
        <w:tc>
          <w:tcPr>
            <w:tcW w:w="1378" w:type="dxa"/>
            <w:tcBorders>
              <w:top w:val="single" w:sz="4" w:space="0" w:color="auto"/>
            </w:tcBorders>
          </w:tcPr>
          <w:p w14:paraId="269D17FF"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TD-AC-</w:t>
            </w:r>
            <w:proofErr w:type="spellStart"/>
            <w:r w:rsidRPr="00A20E69">
              <w:rPr>
                <w:rFonts w:eastAsia="Times New Roman"/>
                <w:sz w:val="18"/>
                <w:szCs w:val="18"/>
                <w:lang w:bidi="ar-SA"/>
              </w:rPr>
              <w:t>LC30</w:t>
            </w:r>
            <w:proofErr w:type="spellEnd"/>
          </w:p>
        </w:tc>
        <w:tc>
          <w:tcPr>
            <w:tcW w:w="1376" w:type="dxa"/>
            <w:tcBorders>
              <w:top w:val="single" w:sz="4" w:space="0" w:color="auto"/>
            </w:tcBorders>
          </w:tcPr>
          <w:p w14:paraId="73AE469C"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All Confidence</w:t>
            </w:r>
          </w:p>
        </w:tc>
        <w:tc>
          <w:tcPr>
            <w:tcW w:w="1376" w:type="dxa"/>
            <w:tcBorders>
              <w:top w:val="single" w:sz="4" w:space="0" w:color="auto"/>
            </w:tcBorders>
          </w:tcPr>
          <w:p w14:paraId="7FD7B89E"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30</w:t>
            </w:r>
            <w:r w:rsidRPr="00A20E69">
              <w:rPr>
                <w:rFonts w:eastAsia="等线" w:hint="eastAsia"/>
                <w:sz w:val="18"/>
                <w:szCs w:val="18"/>
                <w:lang w:bidi="ar-SA"/>
              </w:rPr>
              <w:t>-</w:t>
            </w:r>
            <w:r w:rsidRPr="00A20E69">
              <w:rPr>
                <w:rFonts w:eastAsia="Times New Roman"/>
                <w:sz w:val="18"/>
                <w:szCs w:val="18"/>
                <w:lang w:bidi="ar-SA"/>
              </w:rPr>
              <w:t>class CR map</w:t>
            </w:r>
          </w:p>
        </w:tc>
      </w:tr>
      <w:tr w:rsidR="00E6708D" w:rsidRPr="00A20E69" w14:paraId="47EAAF8C" w14:textId="77777777" w:rsidTr="004A7EDC">
        <w:tc>
          <w:tcPr>
            <w:tcW w:w="1377" w:type="dxa"/>
          </w:tcPr>
          <w:p w14:paraId="5376410A"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BU-AC-BC</w:t>
            </w:r>
          </w:p>
        </w:tc>
        <w:tc>
          <w:tcPr>
            <w:tcW w:w="1375" w:type="dxa"/>
          </w:tcPr>
          <w:p w14:paraId="7AA9ED67"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All Confidence</w:t>
            </w:r>
          </w:p>
        </w:tc>
        <w:tc>
          <w:tcPr>
            <w:tcW w:w="1414" w:type="dxa"/>
          </w:tcPr>
          <w:p w14:paraId="64058147"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proofErr w:type="spellStart"/>
            <w:r w:rsidRPr="00A20E69">
              <w:rPr>
                <w:rFonts w:eastAsia="Times New Roman" w:hint="eastAsia"/>
                <w:sz w:val="18"/>
                <w:szCs w:val="18"/>
                <w:lang w:bidi="ar-SA"/>
              </w:rPr>
              <w:t>Biomass_cci</w:t>
            </w:r>
            <w:proofErr w:type="spellEnd"/>
            <w:r w:rsidRPr="00A20E69">
              <w:rPr>
                <w:rFonts w:eastAsia="Times New Roman"/>
                <w:sz w:val="18"/>
                <w:szCs w:val="18"/>
                <w:lang w:bidi="ar-SA"/>
              </w:rPr>
              <w:t xml:space="preserve"> </w:t>
            </w:r>
          </w:p>
        </w:tc>
        <w:tc>
          <w:tcPr>
            <w:tcW w:w="1378" w:type="dxa"/>
          </w:tcPr>
          <w:p w14:paraId="423D5A2F"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TD-AC-</w:t>
            </w:r>
            <w:proofErr w:type="spellStart"/>
            <w:r w:rsidRPr="00A20E69">
              <w:rPr>
                <w:rFonts w:eastAsia="Times New Roman"/>
                <w:sz w:val="18"/>
                <w:szCs w:val="18"/>
                <w:lang w:bidi="ar-SA"/>
              </w:rPr>
              <w:t>LC8</w:t>
            </w:r>
            <w:proofErr w:type="spellEnd"/>
          </w:p>
        </w:tc>
        <w:tc>
          <w:tcPr>
            <w:tcW w:w="1376" w:type="dxa"/>
          </w:tcPr>
          <w:p w14:paraId="46B98B4D"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All Confidence</w:t>
            </w:r>
          </w:p>
        </w:tc>
        <w:tc>
          <w:tcPr>
            <w:tcW w:w="1376" w:type="dxa"/>
          </w:tcPr>
          <w:p w14:paraId="5721D4B9"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hint="eastAsia"/>
                <w:sz w:val="18"/>
                <w:szCs w:val="18"/>
                <w:lang w:bidi="ar-SA"/>
              </w:rPr>
              <w:t>8</w:t>
            </w:r>
            <w:r w:rsidRPr="00A20E69">
              <w:rPr>
                <w:rFonts w:eastAsia="等线" w:hint="eastAsia"/>
                <w:sz w:val="18"/>
                <w:szCs w:val="18"/>
                <w:lang w:bidi="ar-SA"/>
              </w:rPr>
              <w:t>-</w:t>
            </w:r>
            <w:r w:rsidRPr="00A20E69">
              <w:rPr>
                <w:rFonts w:eastAsia="Times New Roman"/>
                <w:sz w:val="18"/>
                <w:szCs w:val="18"/>
                <w:lang w:bidi="ar-SA"/>
              </w:rPr>
              <w:t>class CR map</w:t>
            </w:r>
          </w:p>
        </w:tc>
      </w:tr>
      <w:tr w:rsidR="00E6708D" w:rsidRPr="00A20E69" w14:paraId="77D1273E" w14:textId="77777777" w:rsidTr="004A7EDC">
        <w:tc>
          <w:tcPr>
            <w:tcW w:w="1377" w:type="dxa"/>
          </w:tcPr>
          <w:p w14:paraId="115D6EBF"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BU-HC-GB</w:t>
            </w:r>
          </w:p>
        </w:tc>
        <w:tc>
          <w:tcPr>
            <w:tcW w:w="1375" w:type="dxa"/>
          </w:tcPr>
          <w:p w14:paraId="486E438B"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hint="eastAsia"/>
                <w:sz w:val="18"/>
                <w:szCs w:val="18"/>
                <w:lang w:bidi="ar-SA"/>
              </w:rPr>
              <w:t>M</w:t>
            </w:r>
            <w:r w:rsidRPr="00A20E69">
              <w:rPr>
                <w:rFonts w:eastAsia="Times New Roman"/>
                <w:sz w:val="18"/>
                <w:szCs w:val="18"/>
                <w:lang w:bidi="ar-SA"/>
              </w:rPr>
              <w:t>edium-to-</w:t>
            </w:r>
            <w:r w:rsidRPr="00A20E69">
              <w:rPr>
                <w:rFonts w:eastAsia="Times New Roman" w:hint="eastAsia"/>
                <w:sz w:val="18"/>
                <w:szCs w:val="18"/>
                <w:lang w:bidi="ar-SA"/>
              </w:rPr>
              <w:t>H</w:t>
            </w:r>
            <w:r w:rsidRPr="00A20E69">
              <w:rPr>
                <w:rFonts w:eastAsia="Times New Roman"/>
                <w:sz w:val="18"/>
                <w:szCs w:val="18"/>
                <w:lang w:bidi="ar-SA"/>
              </w:rPr>
              <w:t>igh confidence</w:t>
            </w:r>
          </w:p>
        </w:tc>
        <w:tc>
          <w:tcPr>
            <w:tcW w:w="1414" w:type="dxa"/>
          </w:tcPr>
          <w:p w14:paraId="49220124"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proofErr w:type="spellStart"/>
            <w:r w:rsidRPr="00A20E69">
              <w:rPr>
                <w:rFonts w:eastAsia="Times New Roman" w:hint="eastAsia"/>
                <w:sz w:val="18"/>
                <w:szCs w:val="18"/>
                <w:lang w:bidi="ar-SA"/>
              </w:rPr>
              <w:t>GlobBiomass</w:t>
            </w:r>
            <w:proofErr w:type="spellEnd"/>
            <w:r w:rsidRPr="00A20E69">
              <w:rPr>
                <w:rFonts w:eastAsia="Times New Roman"/>
                <w:sz w:val="18"/>
                <w:szCs w:val="18"/>
                <w:lang w:bidi="ar-SA"/>
              </w:rPr>
              <w:t xml:space="preserve"> </w:t>
            </w:r>
          </w:p>
        </w:tc>
        <w:tc>
          <w:tcPr>
            <w:tcW w:w="1378" w:type="dxa"/>
          </w:tcPr>
          <w:p w14:paraId="38928D28"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TD-HC-</w:t>
            </w:r>
            <w:proofErr w:type="spellStart"/>
            <w:r w:rsidRPr="00A20E69">
              <w:rPr>
                <w:rFonts w:eastAsia="Times New Roman"/>
                <w:sz w:val="18"/>
                <w:szCs w:val="18"/>
                <w:lang w:bidi="ar-SA"/>
              </w:rPr>
              <w:t>LC30</w:t>
            </w:r>
            <w:proofErr w:type="spellEnd"/>
          </w:p>
        </w:tc>
        <w:tc>
          <w:tcPr>
            <w:tcW w:w="1376" w:type="dxa"/>
          </w:tcPr>
          <w:p w14:paraId="693E1185"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hint="eastAsia"/>
                <w:sz w:val="18"/>
                <w:szCs w:val="18"/>
                <w:lang w:bidi="ar-SA"/>
              </w:rPr>
              <w:t>M</w:t>
            </w:r>
            <w:r w:rsidRPr="00A20E69">
              <w:rPr>
                <w:rFonts w:eastAsia="Times New Roman"/>
                <w:sz w:val="18"/>
                <w:szCs w:val="18"/>
                <w:lang w:bidi="ar-SA"/>
              </w:rPr>
              <w:t>edium-to-</w:t>
            </w:r>
            <w:r w:rsidRPr="00A20E69">
              <w:rPr>
                <w:rFonts w:eastAsia="Times New Roman" w:hint="eastAsia"/>
                <w:sz w:val="18"/>
                <w:szCs w:val="18"/>
                <w:lang w:bidi="ar-SA"/>
              </w:rPr>
              <w:t>H</w:t>
            </w:r>
            <w:r w:rsidRPr="00A20E69">
              <w:rPr>
                <w:rFonts w:eastAsia="Times New Roman"/>
                <w:sz w:val="18"/>
                <w:szCs w:val="18"/>
                <w:lang w:bidi="ar-SA"/>
              </w:rPr>
              <w:t>igh confidence</w:t>
            </w:r>
          </w:p>
        </w:tc>
        <w:tc>
          <w:tcPr>
            <w:tcW w:w="1376" w:type="dxa"/>
          </w:tcPr>
          <w:p w14:paraId="0D32FAEE"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30</w:t>
            </w:r>
            <w:r w:rsidRPr="00A20E69">
              <w:rPr>
                <w:rFonts w:eastAsia="等线" w:hint="eastAsia"/>
                <w:sz w:val="18"/>
                <w:szCs w:val="18"/>
                <w:lang w:bidi="ar-SA"/>
              </w:rPr>
              <w:t>-</w:t>
            </w:r>
            <w:r w:rsidRPr="00A20E69">
              <w:rPr>
                <w:rFonts w:eastAsia="Times New Roman"/>
                <w:sz w:val="18"/>
                <w:szCs w:val="18"/>
                <w:lang w:bidi="ar-SA"/>
              </w:rPr>
              <w:t>class CR map</w:t>
            </w:r>
          </w:p>
        </w:tc>
      </w:tr>
      <w:tr w:rsidR="00E6708D" w:rsidRPr="00A20E69" w14:paraId="319656D4" w14:textId="77777777" w:rsidTr="004A7EDC">
        <w:tc>
          <w:tcPr>
            <w:tcW w:w="1377" w:type="dxa"/>
          </w:tcPr>
          <w:p w14:paraId="2DDB6ADD"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BU-HC-BC</w:t>
            </w:r>
          </w:p>
        </w:tc>
        <w:tc>
          <w:tcPr>
            <w:tcW w:w="1375" w:type="dxa"/>
          </w:tcPr>
          <w:p w14:paraId="559F6525"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hint="eastAsia"/>
                <w:sz w:val="18"/>
                <w:szCs w:val="18"/>
                <w:lang w:bidi="ar-SA"/>
              </w:rPr>
              <w:t>M</w:t>
            </w:r>
            <w:r w:rsidRPr="00A20E69">
              <w:rPr>
                <w:rFonts w:eastAsia="Times New Roman"/>
                <w:sz w:val="18"/>
                <w:szCs w:val="18"/>
                <w:lang w:bidi="ar-SA"/>
              </w:rPr>
              <w:t>edium-to-</w:t>
            </w:r>
            <w:r w:rsidRPr="00A20E69">
              <w:rPr>
                <w:rFonts w:eastAsia="Times New Roman" w:hint="eastAsia"/>
                <w:sz w:val="18"/>
                <w:szCs w:val="18"/>
                <w:lang w:bidi="ar-SA"/>
              </w:rPr>
              <w:t>H</w:t>
            </w:r>
            <w:r w:rsidRPr="00A20E69">
              <w:rPr>
                <w:rFonts w:eastAsia="Times New Roman"/>
                <w:sz w:val="18"/>
                <w:szCs w:val="18"/>
                <w:lang w:bidi="ar-SA"/>
              </w:rPr>
              <w:t>igh confidence</w:t>
            </w:r>
          </w:p>
        </w:tc>
        <w:tc>
          <w:tcPr>
            <w:tcW w:w="1414" w:type="dxa"/>
          </w:tcPr>
          <w:p w14:paraId="5EF81382"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proofErr w:type="spellStart"/>
            <w:r w:rsidRPr="00A20E69">
              <w:rPr>
                <w:rFonts w:eastAsia="Times New Roman" w:hint="eastAsia"/>
                <w:sz w:val="18"/>
                <w:szCs w:val="18"/>
                <w:lang w:bidi="ar-SA"/>
              </w:rPr>
              <w:t>Biomass_cci</w:t>
            </w:r>
            <w:proofErr w:type="spellEnd"/>
            <w:r w:rsidRPr="00A20E69">
              <w:rPr>
                <w:rFonts w:eastAsia="Times New Roman"/>
                <w:sz w:val="18"/>
                <w:szCs w:val="18"/>
                <w:lang w:bidi="ar-SA"/>
              </w:rPr>
              <w:t xml:space="preserve"> </w:t>
            </w:r>
          </w:p>
        </w:tc>
        <w:tc>
          <w:tcPr>
            <w:tcW w:w="1378" w:type="dxa"/>
          </w:tcPr>
          <w:p w14:paraId="6E113E9C"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TD-HC-</w:t>
            </w:r>
            <w:proofErr w:type="spellStart"/>
            <w:r w:rsidRPr="00A20E69">
              <w:rPr>
                <w:rFonts w:eastAsia="Times New Roman"/>
                <w:sz w:val="18"/>
                <w:szCs w:val="18"/>
                <w:lang w:bidi="ar-SA"/>
              </w:rPr>
              <w:t>LC8</w:t>
            </w:r>
            <w:proofErr w:type="spellEnd"/>
          </w:p>
        </w:tc>
        <w:tc>
          <w:tcPr>
            <w:tcW w:w="1376" w:type="dxa"/>
          </w:tcPr>
          <w:p w14:paraId="269BE574"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hint="eastAsia"/>
                <w:sz w:val="18"/>
                <w:szCs w:val="18"/>
                <w:lang w:bidi="ar-SA"/>
              </w:rPr>
              <w:t>M</w:t>
            </w:r>
            <w:r w:rsidRPr="00A20E69">
              <w:rPr>
                <w:rFonts w:eastAsia="Times New Roman"/>
                <w:sz w:val="18"/>
                <w:szCs w:val="18"/>
                <w:lang w:bidi="ar-SA"/>
              </w:rPr>
              <w:t>edium-to-</w:t>
            </w:r>
            <w:r w:rsidRPr="00A20E69">
              <w:rPr>
                <w:rFonts w:eastAsia="Times New Roman" w:hint="eastAsia"/>
                <w:sz w:val="18"/>
                <w:szCs w:val="18"/>
                <w:lang w:bidi="ar-SA"/>
              </w:rPr>
              <w:t>H</w:t>
            </w:r>
            <w:r w:rsidRPr="00A20E69">
              <w:rPr>
                <w:rFonts w:eastAsia="Times New Roman"/>
                <w:sz w:val="18"/>
                <w:szCs w:val="18"/>
                <w:lang w:bidi="ar-SA"/>
              </w:rPr>
              <w:t>igh confidence</w:t>
            </w:r>
          </w:p>
        </w:tc>
        <w:tc>
          <w:tcPr>
            <w:tcW w:w="1376" w:type="dxa"/>
          </w:tcPr>
          <w:p w14:paraId="45BE5381" w14:textId="77777777" w:rsidR="00E6708D" w:rsidRPr="00A20E69" w:rsidRDefault="00E6708D" w:rsidP="004A7EDC">
            <w:pPr>
              <w:widowControl/>
              <w:spacing w:beforeLines="0" w:before="0" w:afterLines="0" w:after="0" w:line="240" w:lineRule="auto"/>
              <w:jc w:val="center"/>
              <w:rPr>
                <w:rFonts w:eastAsia="Times New Roman"/>
                <w:sz w:val="18"/>
                <w:szCs w:val="18"/>
                <w:lang w:bidi="ar-SA"/>
              </w:rPr>
            </w:pPr>
            <w:r w:rsidRPr="00A20E69">
              <w:rPr>
                <w:rFonts w:eastAsia="Times New Roman"/>
                <w:sz w:val="18"/>
                <w:szCs w:val="18"/>
                <w:lang w:bidi="ar-SA"/>
              </w:rPr>
              <w:t>8</w:t>
            </w:r>
            <w:r w:rsidRPr="00A20E69">
              <w:rPr>
                <w:rFonts w:eastAsia="等线" w:hint="eastAsia"/>
                <w:sz w:val="18"/>
                <w:szCs w:val="18"/>
                <w:lang w:bidi="ar-SA"/>
              </w:rPr>
              <w:t>-</w:t>
            </w:r>
            <w:r w:rsidRPr="00A20E69">
              <w:rPr>
                <w:rFonts w:eastAsia="Times New Roman"/>
                <w:sz w:val="18"/>
                <w:szCs w:val="18"/>
                <w:lang w:bidi="ar-SA"/>
              </w:rPr>
              <w:t>class CR map</w:t>
            </w:r>
          </w:p>
        </w:tc>
      </w:tr>
    </w:tbl>
    <w:p w14:paraId="6F8DCA1F" w14:textId="77777777" w:rsidR="00E6708D" w:rsidRPr="00A20E69" w:rsidRDefault="00E6708D" w:rsidP="00E6708D">
      <w:pPr>
        <w:widowControl/>
        <w:spacing w:beforeLines="0" w:before="0" w:afterLines="0" w:after="0"/>
        <w:rPr>
          <w:rFonts w:eastAsia="Times New Roman" w:cs="Times New Roman"/>
          <w:sz w:val="20"/>
          <w:lang w:bidi="ar-SA"/>
        </w:rPr>
      </w:pPr>
      <w:r w:rsidRPr="00A20E69">
        <w:rPr>
          <w:rFonts w:eastAsia="Times New Roman" w:cs="Times New Roman"/>
          <w:sz w:val="20"/>
          <w:lang w:bidi="ar-SA"/>
        </w:rPr>
        <w:t xml:space="preserve">Note: The final </w:t>
      </w:r>
      <w:proofErr w:type="spellStart"/>
      <w:r w:rsidRPr="00A20E69">
        <w:rPr>
          <w:rFonts w:eastAsia="Times New Roman" w:cs="Times New Roman"/>
          <w:sz w:val="20"/>
          <w:lang w:bidi="ar-SA"/>
        </w:rPr>
        <w:t>MBEI</w:t>
      </w:r>
      <w:proofErr w:type="spellEnd"/>
      <w:r w:rsidRPr="00A20E69">
        <w:rPr>
          <w:rFonts w:eastAsia="Times New Roman" w:cs="Times New Roman"/>
          <w:sz w:val="20"/>
          <w:lang w:bidi="ar-SA"/>
        </w:rPr>
        <w:t xml:space="preserve"> dataset also includes the pixel-level ensemble statistics (Mean, Std, Max, Min) calculated from these eight sub-inventories.</w:t>
      </w:r>
    </w:p>
    <w:p w14:paraId="39AB80D2" w14:textId="77777777" w:rsidR="00E6708D" w:rsidRDefault="00E6708D" w:rsidP="00E6708D">
      <w:pPr>
        <w:spacing w:before="156" w:after="156"/>
      </w:pPr>
    </w:p>
    <w:p w14:paraId="687EEBE4" w14:textId="55B5B007" w:rsidR="00E16FD8" w:rsidRDefault="00D8463C" w:rsidP="007D4468">
      <w:pPr>
        <w:spacing w:before="156" w:after="156"/>
      </w:pPr>
      <w:r w:rsidRPr="00D8463C">
        <w:rPr>
          <w:rFonts w:hint="eastAsia"/>
        </w:rPr>
        <w:t xml:space="preserve">2. </w:t>
      </w:r>
      <w:r w:rsidR="00E16FD8" w:rsidRPr="00E16FD8">
        <w:t xml:space="preserve">In this study, only MODIS fire products are used, while the higher-resolution </w:t>
      </w:r>
      <w:proofErr w:type="spellStart"/>
      <w:r w:rsidR="00E16FD8" w:rsidRPr="00E16FD8">
        <w:t>VIIRS</w:t>
      </w:r>
      <w:proofErr w:type="spellEnd"/>
      <w:r w:rsidR="00E16FD8" w:rsidRPr="00E16FD8">
        <w:t xml:space="preserve"> is not considered. As the successor to MODIS, </w:t>
      </w:r>
      <w:proofErr w:type="spellStart"/>
      <w:r w:rsidR="00E16FD8" w:rsidRPr="00E16FD8">
        <w:t>VIIRS</w:t>
      </w:r>
      <w:proofErr w:type="spellEnd"/>
      <w:r w:rsidR="00E16FD8" w:rsidRPr="00E16FD8">
        <w:t xml:space="preserve"> offers enhanced spatial resolution (375–750 m) and advanced day-night imaging capabilities for superior global monitoring of land, ocean, and atmospheric phenomena. The authors should explicitly state the reason for not including </w:t>
      </w:r>
      <w:proofErr w:type="spellStart"/>
      <w:r w:rsidR="00E16FD8" w:rsidRPr="00E16FD8">
        <w:t>VIIRS</w:t>
      </w:r>
      <w:proofErr w:type="spellEnd"/>
      <w:r w:rsidR="00E16FD8" w:rsidRPr="00E16FD8">
        <w:t xml:space="preserve"> observations in the manuscript.</w:t>
      </w:r>
    </w:p>
    <w:p w14:paraId="32ED4D70" w14:textId="350D03C6" w:rsidR="00993007" w:rsidRDefault="00D8463C" w:rsidP="00993007">
      <w:pPr>
        <w:spacing w:before="156" w:after="156"/>
      </w:pPr>
      <w:r w:rsidRPr="00184072">
        <w:rPr>
          <w:b/>
          <w:bCs/>
          <w:color w:val="000000" w:themeColor="text1"/>
          <w:sz w:val="20"/>
          <w:szCs w:val="20"/>
        </w:rPr>
        <w:t>Respons</w:t>
      </w:r>
      <w:r w:rsidRPr="00841F93">
        <w:rPr>
          <w:rFonts w:cs="Times New Roman"/>
          <w:b/>
          <w:bCs/>
          <w:color w:val="000000" w:themeColor="text1"/>
          <w:sz w:val="20"/>
          <w:szCs w:val="20"/>
        </w:rPr>
        <w:t>e:</w:t>
      </w:r>
      <w:r>
        <w:rPr>
          <w:rFonts w:cs="Times New Roman" w:hint="eastAsia"/>
          <w:b/>
          <w:bCs/>
          <w:color w:val="000000" w:themeColor="text1"/>
          <w:sz w:val="20"/>
          <w:szCs w:val="20"/>
        </w:rPr>
        <w:t xml:space="preserve"> </w:t>
      </w:r>
      <w:r w:rsidR="00993007">
        <w:t xml:space="preserve">We sincerely appreciate the reviewer’s insight regarding the superior technical capabilities of the </w:t>
      </w:r>
      <w:proofErr w:type="spellStart"/>
      <w:r w:rsidR="00993007">
        <w:t>VIIRS</w:t>
      </w:r>
      <w:proofErr w:type="spellEnd"/>
      <w:r w:rsidR="00993007">
        <w:t xml:space="preserve"> sensor and the potential benefits of its inclusion. We fully agree with the reviewer’s assessment that </w:t>
      </w:r>
      <w:proofErr w:type="spellStart"/>
      <w:r w:rsidR="00993007">
        <w:t>VIIRS</w:t>
      </w:r>
      <w:proofErr w:type="spellEnd"/>
      <w:r w:rsidR="00993007">
        <w:t>, serving as the designated successor to MODIS, offers significantly enhanced spatial resolution (375 m versus 1 km) and advanced day-night band capabilities, which are undoubtedly critical for improving the detection of small-scale thermal anomalies that MODIS might overlook. However, the decision to rely exclusively on MODIS active fire products (</w:t>
      </w:r>
      <w:proofErr w:type="spellStart"/>
      <w:r w:rsidR="00993007">
        <w:t>MCD14DL</w:t>
      </w:r>
      <w:proofErr w:type="spellEnd"/>
      <w:r w:rsidR="00993007">
        <w:t>) for this specific study was driven by the overriding necessity to maintain rigorous temporal homogeneity across the entire 21-year study period (2003–2023).</w:t>
      </w:r>
    </w:p>
    <w:p w14:paraId="54C09F7F" w14:textId="77777777" w:rsidR="00993007" w:rsidRDefault="00993007" w:rsidP="00993007">
      <w:pPr>
        <w:spacing w:before="156" w:after="156"/>
      </w:pPr>
      <w:r>
        <w:t xml:space="preserve">The primary scientific objective of the </w:t>
      </w:r>
      <w:proofErr w:type="spellStart"/>
      <w:r>
        <w:t>MBEI</w:t>
      </w:r>
      <w:proofErr w:type="spellEnd"/>
      <w:r>
        <w:t xml:space="preserve"> is to analyze long-term trends and interannual variability in global biomass burning. Since the </w:t>
      </w:r>
      <w:proofErr w:type="spellStart"/>
      <w:r>
        <w:t>VIIRS</w:t>
      </w:r>
      <w:proofErr w:type="spellEnd"/>
      <w:r>
        <w:t xml:space="preserve"> record (via Suomi-NPP) only commences in </w:t>
      </w:r>
      <w:r>
        <w:lastRenderedPageBreak/>
        <w:t xml:space="preserve">2012, integrating these data would necessitate splicing a higher-sensitivity sensor into the latter half of the time series. We argue that mixing the 1-km MODIS record (pre-2012) with the 375-m </w:t>
      </w:r>
      <w:proofErr w:type="spellStart"/>
      <w:r>
        <w:t>VIIRS</w:t>
      </w:r>
      <w:proofErr w:type="spellEnd"/>
      <w:r>
        <w:t xml:space="preserve"> record (post-2012) would introduce significant systematic inconsistencies. Specifically, the superior detection sensitivity of </w:t>
      </w:r>
      <w:proofErr w:type="spellStart"/>
      <w:r>
        <w:t>VIIRS</w:t>
      </w:r>
      <w:proofErr w:type="spellEnd"/>
      <w:r>
        <w:t xml:space="preserve"> would inevitably result in a distinct step-change increase in detected fire counts and radiant energy immediately following its introduction. Such an artificial discontinuity, arising solely from the change in instrumentation, could be easily misinterpreted as a climatological intensification of global fire activity, thereby compromising the validity of the trend analysis that is central to this research. Consequently, to avoid introducing artificial discontinuities into the time series, we prioritized the temporal consistency of the single-sensor MODIS record over the higher spatial resolution offered by </w:t>
      </w:r>
      <w:proofErr w:type="spellStart"/>
      <w:r>
        <w:t>VIIRS</w:t>
      </w:r>
      <w:proofErr w:type="spellEnd"/>
      <w:r>
        <w:t>.</w:t>
      </w:r>
    </w:p>
    <w:p w14:paraId="4E69246E" w14:textId="152E4114" w:rsidR="00307E0F" w:rsidRDefault="00993007" w:rsidP="00993007">
      <w:pPr>
        <w:spacing w:before="156" w:after="156"/>
      </w:pPr>
      <w:r>
        <w:t xml:space="preserve">We have explicitly clarified this rationale in Section 4.2 of the revised manuscript to address the reviewer’s concern. In this revised discussion, we openly acknowledge the trade-offs inherent in this decision; while prioritizing temporal consistency allows for robust trend detection, it likely results in conservative emission estimates in regions dominated by small, fragmented fires, such as agricultural residues in India or the Middle East. Furthermore, looking ahead, we recognize the immense potential of </w:t>
      </w:r>
      <w:proofErr w:type="spellStart"/>
      <w:r>
        <w:t>VIIRS</w:t>
      </w:r>
      <w:proofErr w:type="spellEnd"/>
      <w:r>
        <w:t xml:space="preserve"> as its data record lengthens. As the </w:t>
      </w:r>
      <w:proofErr w:type="spellStart"/>
      <w:r>
        <w:t>VIIRS</w:t>
      </w:r>
      <w:proofErr w:type="spellEnd"/>
      <w:r>
        <w:t xml:space="preserve"> time series matures into a sufficient multi-decadal record, we plan to apply the </w:t>
      </w:r>
      <w:proofErr w:type="spellStart"/>
      <w:r>
        <w:t>MBEI</w:t>
      </w:r>
      <w:proofErr w:type="spellEnd"/>
      <w:r>
        <w:t xml:space="preserve"> framework to generate a dedicated, high-resolution </w:t>
      </w:r>
      <w:proofErr w:type="spellStart"/>
      <w:r>
        <w:t>VIIRS</w:t>
      </w:r>
      <w:proofErr w:type="spellEnd"/>
      <w:r>
        <w:t>-based emission dataset, thereby fully leveraging its advanced detection capabilities for future monitoring</w:t>
      </w:r>
      <w:r w:rsidR="00307E0F" w:rsidRPr="00307E0F">
        <w:t>.</w:t>
      </w:r>
    </w:p>
    <w:p w14:paraId="0BD8EF37" w14:textId="6A9ED737" w:rsidR="00993007" w:rsidRDefault="00993007" w:rsidP="00993007">
      <w:pPr>
        <w:spacing w:before="156" w:after="156"/>
      </w:pPr>
      <w:bookmarkStart w:id="2" w:name="_Hlk217739745"/>
      <w:r w:rsidRPr="00993007">
        <w:t xml:space="preserve">Please refer to Page </w:t>
      </w:r>
      <w:r>
        <w:rPr>
          <w:rFonts w:hint="eastAsia"/>
        </w:rPr>
        <w:t>29</w:t>
      </w:r>
      <w:r w:rsidRPr="00993007">
        <w:t xml:space="preserve">, Lines </w:t>
      </w:r>
      <w:r>
        <w:rPr>
          <w:rFonts w:hint="eastAsia"/>
        </w:rPr>
        <w:t>6</w:t>
      </w:r>
      <w:r w:rsidRPr="00993007">
        <w:t>43-</w:t>
      </w:r>
      <w:r>
        <w:rPr>
          <w:rFonts w:hint="eastAsia"/>
        </w:rPr>
        <w:t>6</w:t>
      </w:r>
      <w:r w:rsidRPr="00993007">
        <w:t>52 and the following is the revised manuscript:</w:t>
      </w:r>
    </w:p>
    <w:p w14:paraId="54075105" w14:textId="41A3D8CC" w:rsidR="00993007" w:rsidRDefault="00993007" w:rsidP="00993007">
      <w:pPr>
        <w:spacing w:before="156" w:after="156"/>
        <w:rPr>
          <w:color w:val="215E99" w:themeColor="text2" w:themeTint="BF"/>
        </w:rPr>
      </w:pPr>
      <w:r w:rsidRPr="00993007">
        <w:rPr>
          <w:color w:val="215E99" w:themeColor="text2" w:themeTint="BF"/>
        </w:rPr>
        <w:t>A key decision in this study was to use MODIS active fire products (</w:t>
      </w:r>
      <w:proofErr w:type="spellStart"/>
      <w:r w:rsidRPr="00993007">
        <w:rPr>
          <w:color w:val="215E99" w:themeColor="text2" w:themeTint="BF"/>
        </w:rPr>
        <w:t>MCD14DL</w:t>
      </w:r>
      <w:proofErr w:type="spellEnd"/>
      <w:r w:rsidRPr="00993007">
        <w:rPr>
          <w:color w:val="215E99" w:themeColor="text2" w:themeTint="BF"/>
        </w:rPr>
        <w:t>) exclusively for the 2003–2023 period. Although the Visible Infrared Imaging Radiometer Suite (</w:t>
      </w:r>
      <w:proofErr w:type="spellStart"/>
      <w:r w:rsidRPr="00993007">
        <w:rPr>
          <w:color w:val="215E99" w:themeColor="text2" w:themeTint="BF"/>
        </w:rPr>
        <w:t>VIIRS</w:t>
      </w:r>
      <w:proofErr w:type="spellEnd"/>
      <w:r w:rsidRPr="00993007">
        <w:rPr>
          <w:color w:val="215E99" w:themeColor="text2" w:themeTint="BF"/>
        </w:rPr>
        <w:t xml:space="preserve">), available since 2012, offers superior spatial resolution (375 m) compared to MODIS (1 km), applying it would have limited the consistent time series to the post-2012 era. Merging MODIS (2003–2011) and </w:t>
      </w:r>
      <w:proofErr w:type="spellStart"/>
      <w:r w:rsidRPr="00993007">
        <w:rPr>
          <w:color w:val="215E99" w:themeColor="text2" w:themeTint="BF"/>
        </w:rPr>
        <w:t>VIIRS</w:t>
      </w:r>
      <w:proofErr w:type="spellEnd"/>
      <w:r w:rsidRPr="00993007">
        <w:rPr>
          <w:color w:val="215E99" w:themeColor="text2" w:themeTint="BF"/>
        </w:rPr>
        <w:t xml:space="preserve"> (2012–2023) records introduces a risk of inconsistency; the higher detection sensitivity of </w:t>
      </w:r>
      <w:proofErr w:type="spellStart"/>
      <w:r w:rsidRPr="00993007">
        <w:rPr>
          <w:color w:val="215E99" w:themeColor="text2" w:themeTint="BF"/>
        </w:rPr>
        <w:t>VIIRS</w:t>
      </w:r>
      <w:proofErr w:type="spellEnd"/>
      <w:r w:rsidRPr="00993007">
        <w:rPr>
          <w:color w:val="215E99" w:themeColor="text2" w:themeTint="BF"/>
        </w:rPr>
        <w:t xml:space="preserve"> could result in an artificial increase in fire counts, which might be misinterpreted as a real upward trend in global fire activity. To maintain the homogeneity of the 21-year dataset for trend analysis, we prioritized sensor consistency. We acknowledge that this choice likely leads to an underestimation of emissions from small-scale agricultural fires, particularly in regions like the </w:t>
      </w:r>
      <w:r w:rsidRPr="00993007">
        <w:rPr>
          <w:color w:val="215E99" w:themeColor="text2" w:themeTint="BF"/>
        </w:rPr>
        <w:lastRenderedPageBreak/>
        <w:t>Middle East or India, where fires are often smaller than the MODIS detection threshold (</w:t>
      </w:r>
      <w:proofErr w:type="spellStart"/>
      <w:r w:rsidRPr="00993007">
        <w:rPr>
          <w:color w:val="215E99" w:themeColor="text2" w:themeTint="BF"/>
        </w:rPr>
        <w:t>Hantson</w:t>
      </w:r>
      <w:proofErr w:type="spellEnd"/>
      <w:r w:rsidRPr="00993007">
        <w:rPr>
          <w:color w:val="215E99" w:themeColor="text2" w:themeTint="BF"/>
        </w:rPr>
        <w:t xml:space="preserve"> et al., 2013; Justice et al., 2002; </w:t>
      </w:r>
      <w:proofErr w:type="spellStart"/>
      <w:r w:rsidRPr="00993007">
        <w:rPr>
          <w:color w:val="215E99" w:themeColor="text2" w:themeTint="BF"/>
        </w:rPr>
        <w:t>Vadrevu</w:t>
      </w:r>
      <w:proofErr w:type="spellEnd"/>
      <w:r w:rsidRPr="00993007">
        <w:rPr>
          <w:color w:val="215E99" w:themeColor="text2" w:themeTint="BF"/>
        </w:rPr>
        <w:t xml:space="preserve"> and Lasko, 2018).</w:t>
      </w:r>
    </w:p>
    <w:bookmarkEnd w:id="2"/>
    <w:p w14:paraId="78D0E706" w14:textId="77777777" w:rsidR="00993007" w:rsidRPr="00993007" w:rsidRDefault="00993007" w:rsidP="00993007">
      <w:pPr>
        <w:spacing w:before="156" w:after="156"/>
        <w:rPr>
          <w:color w:val="215E99" w:themeColor="text2" w:themeTint="BF"/>
        </w:rPr>
      </w:pPr>
    </w:p>
    <w:p w14:paraId="4A59645B" w14:textId="548B3C53" w:rsidR="00EC45AA" w:rsidRDefault="00D8463C" w:rsidP="00EC45AA">
      <w:pPr>
        <w:spacing w:before="156" w:after="156"/>
      </w:pPr>
      <w:r w:rsidRPr="00D8463C">
        <w:rPr>
          <w:rFonts w:hint="eastAsia"/>
        </w:rPr>
        <w:t xml:space="preserve">3. </w:t>
      </w:r>
      <w:r w:rsidR="00EC45AA" w:rsidRPr="00EC45AA">
        <w:t xml:space="preserve">To address the limitation of a static </w:t>
      </w:r>
      <w:proofErr w:type="spellStart"/>
      <w:r w:rsidR="00EC45AA" w:rsidRPr="00EC45AA">
        <w:t>AGB</w:t>
      </w:r>
      <w:proofErr w:type="spellEnd"/>
      <w:r w:rsidR="00EC45AA" w:rsidRPr="00EC45AA">
        <w:t xml:space="preserve"> benchmark map, net primary productivity (NPP) is used as a proxy to generate annual global </w:t>
      </w:r>
      <w:proofErr w:type="spellStart"/>
      <w:r w:rsidR="00EC45AA" w:rsidRPr="00EC45AA">
        <w:t>AGB</w:t>
      </w:r>
      <w:proofErr w:type="spellEnd"/>
      <w:r w:rsidR="00EC45AA" w:rsidRPr="00EC45AA">
        <w:t xml:space="preserve"> maps. Does this approach introduce inherent uncertainties? The authors should discuss these.</w:t>
      </w:r>
    </w:p>
    <w:p w14:paraId="2C926915" w14:textId="4605E30D" w:rsidR="00993007" w:rsidRDefault="00D8463C" w:rsidP="00993007">
      <w:pPr>
        <w:spacing w:before="156" w:after="156"/>
      </w:pPr>
      <w:bookmarkStart w:id="3" w:name="_Hlk217047792"/>
      <w:r w:rsidRPr="00184072">
        <w:rPr>
          <w:b/>
          <w:bCs/>
          <w:color w:val="000000" w:themeColor="text1"/>
          <w:sz w:val="20"/>
          <w:szCs w:val="20"/>
        </w:rPr>
        <w:t>Respons</w:t>
      </w:r>
      <w:r w:rsidRPr="00841F93">
        <w:rPr>
          <w:rFonts w:cs="Times New Roman"/>
          <w:b/>
          <w:bCs/>
          <w:color w:val="000000" w:themeColor="text1"/>
          <w:sz w:val="20"/>
          <w:szCs w:val="20"/>
        </w:rPr>
        <w:t>e:</w:t>
      </w:r>
      <w:r>
        <w:rPr>
          <w:rFonts w:cs="Times New Roman" w:hint="eastAsia"/>
          <w:b/>
          <w:bCs/>
          <w:color w:val="000000" w:themeColor="text1"/>
          <w:sz w:val="20"/>
          <w:szCs w:val="20"/>
        </w:rPr>
        <w:t xml:space="preserve"> </w:t>
      </w:r>
      <w:r w:rsidR="00993007">
        <w:t>We sincerely appreciate the reviewer’s critical assessment regarding the uncertainties associated with the fuel load estimation methodology. We fully acknowledge that the derivation of dynamic annual Aboveground Biomass (</w:t>
      </w:r>
      <w:proofErr w:type="spellStart"/>
      <w:r w:rsidR="00993007">
        <w:t>AGB</w:t>
      </w:r>
      <w:proofErr w:type="spellEnd"/>
      <w:r w:rsidR="00993007">
        <w:t xml:space="preserve">) from static baseline maps using Net Primary Productivity (NPP) as a proxy is a methodological simplification that inevitably introduces inherent uncertainties into the bottom-up inventory. As correctly highlighted by the reviewer, and as we have now explicitly discussed in the revised manuscript, the relationship between these two variables is ecologically complex; fundamentally, </w:t>
      </w:r>
      <w:proofErr w:type="spellStart"/>
      <w:r w:rsidR="00993007">
        <w:t>AGB</w:t>
      </w:r>
      <w:proofErr w:type="spellEnd"/>
      <w:r w:rsidR="00993007">
        <w:t xml:space="preserve"> represents a cumulative carbon stock, whereas NPP represents an annual carbon flux. Consequently, their correlation is influenced by non-linear factors such as ecological lag effects, variable tree mortality rates, and decomposition processes, meaning that a year of high NPP does not necessarily translate into an immediate, proportional increase in standing biomass.</w:t>
      </w:r>
    </w:p>
    <w:p w14:paraId="07D60766" w14:textId="7823EAD8" w:rsidR="00993007" w:rsidRDefault="00993007" w:rsidP="00993007">
      <w:pPr>
        <w:spacing w:before="156" w:after="156"/>
      </w:pPr>
      <w:r>
        <w:t xml:space="preserve">However, the decision to adopt this NPP-based proxy method was driven by the stringent constraints of current data availability. For the study period of 2003–2023, there exists no continuous, global, high-resolution annual </w:t>
      </w:r>
      <w:proofErr w:type="spellStart"/>
      <w:r>
        <w:t>AGB</w:t>
      </w:r>
      <w:proofErr w:type="spellEnd"/>
      <w:r>
        <w:t xml:space="preserve"> observational dataset. Faced with the choice between using a completely static </w:t>
      </w:r>
      <w:proofErr w:type="spellStart"/>
      <w:r>
        <w:t>AGB</w:t>
      </w:r>
      <w:proofErr w:type="spellEnd"/>
      <w:r>
        <w:t xml:space="preserve"> map—which would erroneously assume constant fuel loads despite significant climate variability—and using an NPP-driven dynamic adjustment, we determined that the latter represents the</w:t>
      </w:r>
      <w:r w:rsidR="00FF25C5">
        <w:rPr>
          <w:rFonts w:hint="eastAsia"/>
        </w:rPr>
        <w:t xml:space="preserve"> </w:t>
      </w:r>
      <w:r>
        <w:t>scientifically robust available strategy to approximate the interannual variability of fuel availability, despite its physical limitations.</w:t>
      </w:r>
    </w:p>
    <w:p w14:paraId="74C0C0DF" w14:textId="77777777" w:rsidR="00993007" w:rsidRDefault="00993007" w:rsidP="00993007">
      <w:pPr>
        <w:spacing w:before="156" w:after="156"/>
      </w:pPr>
      <w:r>
        <w:t xml:space="preserve">In response to the reviewer’s suggestion, we have expanded Section 4.2 (Limitations and Future Perspectives) to include a dedicated discussion on these specific uncertainties. We clarified that while this approach allows us to capture the directional trends of interannual fuel dynamics, it remains a surrogate method. We further elaborated that future iterations of the </w:t>
      </w:r>
      <w:proofErr w:type="spellStart"/>
      <w:r>
        <w:t>MBEI</w:t>
      </w:r>
      <w:proofErr w:type="spellEnd"/>
      <w:r>
        <w:t xml:space="preserve"> aim to </w:t>
      </w:r>
      <w:r>
        <w:lastRenderedPageBreak/>
        <w:t>overcome this reliance on proxies by integrating direct vertical structure measurements from next-generation active remote sensing missions, such as NASA GEDI and ESA BIOMASS, once long-term records from these sensors become available to directly resolve dynamic fuel loads.</w:t>
      </w:r>
    </w:p>
    <w:p w14:paraId="107D6F02" w14:textId="0D0E92AF" w:rsidR="00993007" w:rsidRDefault="00993007" w:rsidP="00993007">
      <w:pPr>
        <w:spacing w:before="156" w:after="156"/>
      </w:pPr>
      <w:bookmarkStart w:id="4" w:name="_Hlk217740120"/>
      <w:r w:rsidRPr="00993007">
        <w:t xml:space="preserve">Please refer to Page </w:t>
      </w:r>
      <w:r>
        <w:rPr>
          <w:rFonts w:hint="eastAsia"/>
        </w:rPr>
        <w:t>30</w:t>
      </w:r>
      <w:r w:rsidRPr="00993007">
        <w:t xml:space="preserve">, Lines </w:t>
      </w:r>
      <w:r>
        <w:rPr>
          <w:rFonts w:hint="eastAsia"/>
        </w:rPr>
        <w:t>67</w:t>
      </w:r>
      <w:r w:rsidRPr="00993007">
        <w:t>3-</w:t>
      </w:r>
      <w:r>
        <w:rPr>
          <w:rFonts w:hint="eastAsia"/>
        </w:rPr>
        <w:t>683</w:t>
      </w:r>
      <w:r w:rsidRPr="00993007">
        <w:t xml:space="preserve"> and the following is the revised manuscript:</w:t>
      </w:r>
    </w:p>
    <w:bookmarkEnd w:id="4"/>
    <w:p w14:paraId="1857E9D1" w14:textId="07545AA7" w:rsidR="00993007" w:rsidRPr="00993007" w:rsidRDefault="00993007" w:rsidP="00993007">
      <w:pPr>
        <w:spacing w:before="156" w:after="156"/>
      </w:pPr>
      <w:r w:rsidRPr="00993007">
        <w:rPr>
          <w:color w:val="215E99" w:themeColor="text2" w:themeTint="BF"/>
        </w:rPr>
        <w:t xml:space="preserve">Advancements in next-generation satellites will also enhance the </w:t>
      </w:r>
      <w:proofErr w:type="spellStart"/>
      <w:r w:rsidRPr="00993007">
        <w:rPr>
          <w:color w:val="215E99" w:themeColor="text2" w:themeTint="BF"/>
        </w:rPr>
        <w:t>MBEI’s</w:t>
      </w:r>
      <w:proofErr w:type="spellEnd"/>
      <w:r w:rsidRPr="00993007">
        <w:rPr>
          <w:color w:val="215E99" w:themeColor="text2" w:themeTint="BF"/>
        </w:rPr>
        <w:t xml:space="preserve"> capacity for fuel load estimation. In this study, due to the lack of high-resolution annual </w:t>
      </w:r>
      <w:proofErr w:type="spellStart"/>
      <w:r w:rsidRPr="00993007">
        <w:rPr>
          <w:color w:val="215E99" w:themeColor="text2" w:themeTint="BF"/>
        </w:rPr>
        <w:t>AGB</w:t>
      </w:r>
      <w:proofErr w:type="spellEnd"/>
      <w:r w:rsidRPr="00993007">
        <w:rPr>
          <w:color w:val="215E99" w:themeColor="text2" w:themeTint="BF"/>
        </w:rPr>
        <w:t xml:space="preserve"> observations, we adjusted static </w:t>
      </w:r>
      <w:proofErr w:type="spellStart"/>
      <w:r w:rsidRPr="00993007">
        <w:rPr>
          <w:color w:val="215E99" w:themeColor="text2" w:themeTint="BF"/>
        </w:rPr>
        <w:t>AGB</w:t>
      </w:r>
      <w:proofErr w:type="spellEnd"/>
      <w:r w:rsidRPr="00993007">
        <w:rPr>
          <w:color w:val="215E99" w:themeColor="text2" w:themeTint="BF"/>
        </w:rPr>
        <w:t xml:space="preserve"> maps using interannual variations in NPP. However, </w:t>
      </w:r>
      <w:proofErr w:type="spellStart"/>
      <w:r w:rsidRPr="00993007">
        <w:rPr>
          <w:color w:val="215E99" w:themeColor="text2" w:themeTint="BF"/>
        </w:rPr>
        <w:t>AGB</w:t>
      </w:r>
      <w:proofErr w:type="spellEnd"/>
      <w:r w:rsidRPr="00993007">
        <w:rPr>
          <w:color w:val="215E99" w:themeColor="text2" w:themeTint="BF"/>
        </w:rPr>
        <w:t xml:space="preserve"> is a cumulative stock variable, whereas NPP is an annual flux variable. Their relationship is complex and influenced by factors such as lag effects, tree mortality, and decomposition, meaning a high NPP year does not always result in an immediate biomass increase (Keeling and Phillips, 2007; Teets et al., 2022). Future versions of </w:t>
      </w:r>
      <w:proofErr w:type="spellStart"/>
      <w:r w:rsidRPr="00993007">
        <w:rPr>
          <w:color w:val="215E99" w:themeColor="text2" w:themeTint="BF"/>
        </w:rPr>
        <w:t>MBEI</w:t>
      </w:r>
      <w:proofErr w:type="spellEnd"/>
      <w:r w:rsidRPr="00993007">
        <w:rPr>
          <w:color w:val="215E99" w:themeColor="text2" w:themeTint="BF"/>
        </w:rPr>
        <w:t xml:space="preserve"> aim to improve this by integrating dynamic </w:t>
      </w:r>
      <w:proofErr w:type="spellStart"/>
      <w:r w:rsidRPr="00993007">
        <w:rPr>
          <w:color w:val="215E99" w:themeColor="text2" w:themeTint="BF"/>
        </w:rPr>
        <w:t>AGB</w:t>
      </w:r>
      <w:proofErr w:type="spellEnd"/>
      <w:r w:rsidRPr="00993007">
        <w:rPr>
          <w:color w:val="215E99" w:themeColor="text2" w:themeTint="BF"/>
        </w:rPr>
        <w:t xml:space="preserve"> datasets from active remote sensing missions. Specifically, spaceborne LiDAR (e.g., NASA GEDI) and P-band SAR (e.g., ESA BIOMASS mission) are expected to provide global measurements of forest vertical structure. This will allow </w:t>
      </w:r>
      <w:proofErr w:type="spellStart"/>
      <w:r w:rsidRPr="00993007">
        <w:rPr>
          <w:color w:val="215E99" w:themeColor="text2" w:themeTint="BF"/>
        </w:rPr>
        <w:t>MBEI</w:t>
      </w:r>
      <w:proofErr w:type="spellEnd"/>
      <w:r w:rsidRPr="00993007">
        <w:rPr>
          <w:color w:val="215E99" w:themeColor="text2" w:themeTint="BF"/>
        </w:rPr>
        <w:t xml:space="preserve"> to incorporate dynamic fuel loads, thereby reducing a major source of uncertainty in the bottom-up approach based on burned area (Cao et al., 2016; Liu et al., 2019; Rodríguez-Fernández et al., 2018).</w:t>
      </w:r>
    </w:p>
    <w:p w14:paraId="5E645D45" w14:textId="77777777" w:rsidR="00993007" w:rsidRDefault="00993007" w:rsidP="00993007">
      <w:pPr>
        <w:spacing w:before="156" w:after="156"/>
      </w:pPr>
    </w:p>
    <w:p w14:paraId="475A39CE" w14:textId="4F3474E1" w:rsidR="00485B93" w:rsidRDefault="00D8463C" w:rsidP="00993007">
      <w:pPr>
        <w:spacing w:before="156" w:after="156"/>
      </w:pPr>
      <w:r w:rsidRPr="00D8463C">
        <w:rPr>
          <w:rFonts w:hint="eastAsia"/>
        </w:rPr>
        <w:t xml:space="preserve">4. </w:t>
      </w:r>
      <w:r w:rsidR="00485B93" w:rsidRPr="00485B93">
        <w:t>The abstract is overly long and information-dense. I suggest to keep the most important findings and shorten the abstract to make the expression more concise.</w:t>
      </w:r>
    </w:p>
    <w:p w14:paraId="35A1E620" w14:textId="14F54C98" w:rsidR="004A2220" w:rsidRDefault="00D8463C" w:rsidP="004A2220">
      <w:pPr>
        <w:spacing w:before="156" w:after="156"/>
      </w:pPr>
      <w:bookmarkStart w:id="5" w:name="_Hlk217052525"/>
      <w:bookmarkEnd w:id="3"/>
      <w:r w:rsidRPr="00184072">
        <w:rPr>
          <w:b/>
          <w:bCs/>
          <w:color w:val="000000" w:themeColor="text1"/>
          <w:sz w:val="20"/>
          <w:szCs w:val="20"/>
        </w:rPr>
        <w:t>Respons</w:t>
      </w:r>
      <w:r w:rsidRPr="00841F93">
        <w:rPr>
          <w:rFonts w:cs="Times New Roman"/>
          <w:b/>
          <w:bCs/>
          <w:color w:val="000000" w:themeColor="text1"/>
          <w:sz w:val="20"/>
          <w:szCs w:val="20"/>
        </w:rPr>
        <w:t>e:</w:t>
      </w:r>
      <w:r>
        <w:rPr>
          <w:rFonts w:cs="Times New Roman" w:hint="eastAsia"/>
          <w:b/>
          <w:bCs/>
          <w:color w:val="000000" w:themeColor="text1"/>
          <w:sz w:val="20"/>
          <w:szCs w:val="20"/>
        </w:rPr>
        <w:t xml:space="preserve"> </w:t>
      </w:r>
      <w:r w:rsidR="004A2220">
        <w:t>We sincerely appreciate the reviewer’s constructive feedback regarding the length and density of the abstract. We fully acknowledge that the original text, while comprehensive, was overly verbose in its contextualization and methodological detailing, which may have diluted the immediate impact of the study’s core contributions. We have accepted this suggestion and performed a rigorous editorial revision to significantly condense the abstract, thereby enhancing its concise expression and readability while retaining the critical scientific findings.</w:t>
      </w:r>
    </w:p>
    <w:p w14:paraId="1889550F" w14:textId="1F0636EA" w:rsidR="004B5536" w:rsidRDefault="004A2220" w:rsidP="004A2220">
      <w:pPr>
        <w:spacing w:before="156" w:after="156"/>
      </w:pPr>
      <w:r>
        <w:t xml:space="preserve">In the revised abstract, we have streamlined the narrative structure to prioritize the research gap and our specific contributions. First, we excised the generic background information regarding global climate change to focus immediately on the critical issue of discrepancies among existing </w:t>
      </w:r>
      <w:r>
        <w:lastRenderedPageBreak/>
        <w:t xml:space="preserve">inventories. Second, we compressed the methodological description; rather than listing every specific atmospheric pollutant, we focused on the innovative nature of the "ensemble framework" that integrates bottom-up and top-down approaches to quantify structural uncertainty. This allowed us to dedicate more space to the key empirical findings, which have been sharpened for clarity. Specifically, we retained the crucial quantitative results—such as the two-fold difference between maximum and minimum global estimates—and the distinct spatial heterogeneity of uncertainty, highlighting the contrast between high-uncertainty regions like Australia and lower-uncertainty regions like Africa. Furthermore, we refined the description of the temporal trends to clearly articulate the identified decadal shift: a decline in tropical burning (2003–2013) followed by a resurgence driven by high-latitude fires (2013–2023). These revisions ensure that the abstract now directly and effectively communicates the </w:t>
      </w:r>
      <w:proofErr w:type="spellStart"/>
      <w:r>
        <w:t>MBEI’s</w:t>
      </w:r>
      <w:proofErr w:type="spellEnd"/>
      <w:r>
        <w:t xml:space="preserve"> value in providing robust central estimates and explicit uncertainty bounds for atmospheric </w:t>
      </w:r>
      <w:proofErr w:type="spellStart"/>
      <w:r>
        <w:t>modeling.</w:t>
      </w:r>
      <w:r w:rsidR="004B5536" w:rsidRPr="00EC45AA">
        <w:rPr>
          <w:rFonts w:hint="eastAsia"/>
          <w:b/>
          <w:bCs/>
        </w:rPr>
        <w:t>Q</w:t>
      </w:r>
      <w:r w:rsidR="004B5536">
        <w:rPr>
          <w:rFonts w:hint="eastAsia"/>
          <w:b/>
          <w:bCs/>
          <w:vertAlign w:val="subscript"/>
        </w:rPr>
        <w:t>5</w:t>
      </w:r>
      <w:proofErr w:type="spellEnd"/>
      <w:r w:rsidR="004B5536" w:rsidRPr="00EC45AA">
        <w:rPr>
          <w:rFonts w:hint="eastAsia"/>
          <w:b/>
          <w:bCs/>
        </w:rPr>
        <w:t>:</w:t>
      </w:r>
      <w:r w:rsidR="004B5536">
        <w:rPr>
          <w:rFonts w:hint="eastAsia"/>
        </w:rPr>
        <w:t xml:space="preserve"> </w:t>
      </w:r>
      <w:r w:rsidR="004B5536" w:rsidRPr="004B5536">
        <w:t>The Discussion section should be strengthened. Other factors are likely to bring the uncertainty in the estimation of biomass burning emission, for example the omission and commission errors in the satellite fire observations. Meanwhile, the existing bottom-up and up-down method is like to underestimate the emission for small-scale fire.</w:t>
      </w:r>
    </w:p>
    <w:p w14:paraId="109703AA" w14:textId="22A083C7" w:rsidR="004A2220" w:rsidRDefault="004A2220" w:rsidP="004A2220">
      <w:pPr>
        <w:spacing w:before="156" w:after="156"/>
      </w:pPr>
      <w:bookmarkStart w:id="6" w:name="_Hlk217740834"/>
      <w:r w:rsidRPr="004A2220">
        <w:t xml:space="preserve">Please refer to Page </w:t>
      </w:r>
      <w:r>
        <w:rPr>
          <w:rFonts w:hint="eastAsia"/>
        </w:rPr>
        <w:t>2</w:t>
      </w:r>
      <w:r w:rsidRPr="004A2220">
        <w:t>, Lines 3</w:t>
      </w:r>
      <w:r>
        <w:rPr>
          <w:rFonts w:hint="eastAsia"/>
        </w:rPr>
        <w:t>6</w:t>
      </w:r>
      <w:r w:rsidRPr="004A2220">
        <w:t>-</w:t>
      </w:r>
      <w:r>
        <w:rPr>
          <w:rFonts w:hint="eastAsia"/>
        </w:rPr>
        <w:t>50</w:t>
      </w:r>
      <w:r w:rsidRPr="004A2220">
        <w:t xml:space="preserve"> and the following is the revised manuscript:</w:t>
      </w:r>
    </w:p>
    <w:p w14:paraId="313E67F7" w14:textId="713ED7E6" w:rsidR="004A2220" w:rsidRDefault="004A2220" w:rsidP="004A2220">
      <w:pPr>
        <w:spacing w:before="156" w:after="156"/>
        <w:rPr>
          <w:color w:val="215E99" w:themeColor="text2" w:themeTint="BF"/>
        </w:rPr>
      </w:pPr>
      <w:r w:rsidRPr="004A2220">
        <w:rPr>
          <w:b/>
          <w:bCs/>
          <w:color w:val="215E99" w:themeColor="text2" w:themeTint="BF"/>
        </w:rPr>
        <w:t>Abstract</w:t>
      </w:r>
      <w:r w:rsidRPr="004A2220">
        <w:rPr>
          <w:color w:val="215E99" w:themeColor="text2" w:themeTint="BF"/>
        </w:rPr>
        <w:t>. Large discrepancies among existing inventories hinder a consensus on the true magnitude and long-term trends of global biomass burning emissions. To address this, we developed the Multi-ensemble Biomass-burning Emissions Inventory (</w:t>
      </w:r>
      <w:proofErr w:type="spellStart"/>
      <w:r w:rsidRPr="004A2220">
        <w:rPr>
          <w:color w:val="215E99" w:themeColor="text2" w:themeTint="BF"/>
        </w:rPr>
        <w:t>MBEI</w:t>
      </w:r>
      <w:proofErr w:type="spellEnd"/>
      <w:r w:rsidRPr="004A2220">
        <w:rPr>
          <w:color w:val="215E99" w:themeColor="text2" w:themeTint="BF"/>
        </w:rPr>
        <w:t>), a framework integrating bottom-up and top-down approaches with multi-source data to generate eight sub-inventories for the period 2003–2023. This ensemble approach allows for the explicit quantification of emission uncertainty at a 0.1° grid scale. We estimate global annual CO</w:t>
      </w:r>
      <w:r w:rsidRPr="00821A27">
        <w:rPr>
          <w:color w:val="215E99" w:themeColor="text2" w:themeTint="BF"/>
          <w:vertAlign w:val="subscript"/>
        </w:rPr>
        <w:t>2</w:t>
      </w:r>
      <w:r w:rsidRPr="004A2220">
        <w:rPr>
          <w:color w:val="215E99" w:themeColor="text2" w:themeTint="BF"/>
        </w:rPr>
        <w:t xml:space="preserve"> emissions at 7304 (4400–9657) </w:t>
      </w:r>
      <w:proofErr w:type="spellStart"/>
      <w:r w:rsidRPr="004A2220">
        <w:rPr>
          <w:color w:val="215E99" w:themeColor="text2" w:themeTint="BF"/>
        </w:rPr>
        <w:t>Tg</w:t>
      </w:r>
      <w:proofErr w:type="spellEnd"/>
      <w:r w:rsidRPr="004A2220">
        <w:rPr>
          <w:color w:val="215E99" w:themeColor="text2" w:themeTint="BF"/>
        </w:rPr>
        <w:t xml:space="preserve">, with the maximum estimate exceeding the minimum by over two-fold. The uncertainty exhibits significant spatial heterogeneity: it is highest in low-emission regions like Australia and the Middle East (6.0–7.0 fold difference), whereas traditional hotspots like Africa show lower divergence (Approximately 2 fold). Temporally, a distinct decadal shift was identified: global emissions declined from 2003 to 2013 due to reduced tropical burning, but reversed to an increasing trend from 2013 to 2023, driven by intensified fires in northern high-latitudes and extreme events. Comparisons confirm that the </w:t>
      </w:r>
      <w:proofErr w:type="spellStart"/>
      <w:r w:rsidRPr="004A2220">
        <w:rPr>
          <w:color w:val="215E99" w:themeColor="text2" w:themeTint="BF"/>
        </w:rPr>
        <w:t>MBEI</w:t>
      </w:r>
      <w:proofErr w:type="spellEnd"/>
      <w:r w:rsidRPr="004A2220">
        <w:rPr>
          <w:color w:val="215E99" w:themeColor="text2" w:themeTint="BF"/>
        </w:rPr>
        <w:t xml:space="preserve"> </w:t>
      </w:r>
      <w:r w:rsidRPr="004A2220">
        <w:rPr>
          <w:color w:val="215E99" w:themeColor="text2" w:themeTint="BF"/>
        </w:rPr>
        <w:lastRenderedPageBreak/>
        <w:t xml:space="preserve">mean provides a robust central estimate, while its max-min range effectively encompasses other major inventories. By providing explicit uncertainty bounds, </w:t>
      </w:r>
      <w:proofErr w:type="spellStart"/>
      <w:r w:rsidRPr="004A2220">
        <w:rPr>
          <w:color w:val="215E99" w:themeColor="text2" w:themeTint="BF"/>
        </w:rPr>
        <w:t>MBEI</w:t>
      </w:r>
      <w:proofErr w:type="spellEnd"/>
      <w:r w:rsidRPr="004A2220">
        <w:rPr>
          <w:color w:val="215E99" w:themeColor="text2" w:themeTint="BF"/>
        </w:rPr>
        <w:t xml:space="preserve"> enhances the reliability of atmospheric modeling and climate assessments. The dataset is publicly available at </w:t>
      </w:r>
      <w:r w:rsidR="00FE22E2" w:rsidRPr="00FE22E2">
        <w:rPr>
          <w:color w:val="215E99" w:themeColor="text2" w:themeTint="BF"/>
        </w:rPr>
        <w:t>https://</w:t>
      </w:r>
      <w:proofErr w:type="spellStart"/>
      <w:r w:rsidR="00FE22E2" w:rsidRPr="00FE22E2">
        <w:rPr>
          <w:color w:val="215E99" w:themeColor="text2" w:themeTint="BF"/>
        </w:rPr>
        <w:t>doi.org</w:t>
      </w:r>
      <w:proofErr w:type="spellEnd"/>
      <w:r w:rsidR="00FE22E2" w:rsidRPr="00FE22E2">
        <w:rPr>
          <w:color w:val="215E99" w:themeColor="text2" w:themeTint="BF"/>
        </w:rPr>
        <w:t>/10.5281/</w:t>
      </w:r>
      <w:proofErr w:type="spellStart"/>
      <w:r w:rsidR="00FE22E2" w:rsidRPr="00FE22E2">
        <w:rPr>
          <w:color w:val="215E99" w:themeColor="text2" w:themeTint="BF"/>
        </w:rPr>
        <w:t>zenodo.18104830</w:t>
      </w:r>
      <w:proofErr w:type="spellEnd"/>
      <w:r w:rsidRPr="004A2220">
        <w:rPr>
          <w:color w:val="215E99" w:themeColor="text2" w:themeTint="BF"/>
        </w:rPr>
        <w:t xml:space="preserve"> (Liu and Yin, 2025).</w:t>
      </w:r>
    </w:p>
    <w:bookmarkEnd w:id="6"/>
    <w:p w14:paraId="36BCA32D" w14:textId="77777777" w:rsidR="004A2220" w:rsidRDefault="004A2220" w:rsidP="004A2220">
      <w:pPr>
        <w:spacing w:before="156" w:after="156"/>
        <w:rPr>
          <w:color w:val="215E99" w:themeColor="text2" w:themeTint="BF"/>
        </w:rPr>
      </w:pPr>
    </w:p>
    <w:p w14:paraId="2F603AD5" w14:textId="28793A37" w:rsidR="004A2220" w:rsidRPr="004A2220" w:rsidRDefault="00D8463C" w:rsidP="00B8713B">
      <w:pPr>
        <w:spacing w:before="156" w:after="156"/>
      </w:pPr>
      <w:r>
        <w:rPr>
          <w:rFonts w:hint="eastAsia"/>
        </w:rPr>
        <w:t xml:space="preserve">5. </w:t>
      </w:r>
      <w:r w:rsidR="004A2220" w:rsidRPr="004A2220">
        <w:t>The Discussion section should be strengthened. Other factors are likely to bring the uncertainty in the estimation of biomass burning emission, for example the omission and commission errors in the satellite fire observations. Meanwhile, the existing bottom-up and up-down method is like to underestimate the emission for small-scale fire.</w:t>
      </w:r>
    </w:p>
    <w:bookmarkEnd w:id="5"/>
    <w:p w14:paraId="7DB48C52" w14:textId="376983C6" w:rsidR="00156F66" w:rsidRDefault="00D8463C" w:rsidP="00156F66">
      <w:pPr>
        <w:spacing w:before="156" w:after="156"/>
      </w:pPr>
      <w:r w:rsidRPr="00D8463C">
        <w:rPr>
          <w:b/>
          <w:bCs/>
        </w:rPr>
        <w:t>Response:</w:t>
      </w:r>
      <w:r>
        <w:rPr>
          <w:rFonts w:hint="eastAsia"/>
          <w:b/>
          <w:bCs/>
        </w:rPr>
        <w:t xml:space="preserve"> </w:t>
      </w:r>
      <w:r w:rsidR="00156F66">
        <w:t>We sincerely appreciate the reviewer’s constructive critique regarding the comprehensiveness of our discussion on uncertainty sources. We fully agree with the reviewer’s assessment that beyond the structural uncertainties arising from algorithm choice, the fundamental physical limitations of satellite observations—specifically omission errors related to detection thresholds for small-scale fires—constitute significant sources of bias that necessitate rigorous examination. We acknowledge that existing bottom-up and top-down methods share these inherent physical constraints, which often lead to a systematic underestimation of emissions in specific fire regimes.</w:t>
      </w:r>
    </w:p>
    <w:p w14:paraId="12781536" w14:textId="77777777" w:rsidR="00156F66" w:rsidRDefault="00156F66" w:rsidP="00156F66">
      <w:pPr>
        <w:spacing w:before="156" w:after="156"/>
      </w:pPr>
      <w:r>
        <w:t>In direct response to this suggestion, we have substantially strengthened Section 4.2 to provide a deep-dive analysis of these physical limitations. A central focus of this revision is the explicit discussion of the trade-offs involved in sensor selection and the consequent impact on small-fire detection. We clarified that a key decision in this study was to use MODIS active fire products (</w:t>
      </w:r>
      <w:proofErr w:type="spellStart"/>
      <w:r>
        <w:t>MCD14DL</w:t>
      </w:r>
      <w:proofErr w:type="spellEnd"/>
      <w:r>
        <w:t>) exclusively for the 2003–2023 period to ensure trend validity. We argue that although the Visible Infrared Imaging Radiometer Suite (</w:t>
      </w:r>
      <w:proofErr w:type="spellStart"/>
      <w:r>
        <w:t>VIIRS</w:t>
      </w:r>
      <w:proofErr w:type="spellEnd"/>
      <w:r>
        <w:t xml:space="preserve">), available since 2012, offers superior spatial resolution (375 m) compared to MODIS (1 km), applying it would have limited the consistent time series to the post-2012 era. Furthermore, merging MODIS (2003–2011) and </w:t>
      </w:r>
      <w:proofErr w:type="spellStart"/>
      <w:r>
        <w:t>VIIRS</w:t>
      </w:r>
      <w:proofErr w:type="spellEnd"/>
      <w:r>
        <w:t xml:space="preserve"> (2012</w:t>
      </w:r>
      <w:r>
        <w:rPr>
          <w:rFonts w:hint="eastAsia"/>
        </w:rPr>
        <w:t>–</w:t>
      </w:r>
      <w:r>
        <w:t xml:space="preserve">2023) records introduces a substantial risk of inconsistency; the higher detection sensitivity of </w:t>
      </w:r>
      <w:proofErr w:type="spellStart"/>
      <w:r>
        <w:t>VIIRS</w:t>
      </w:r>
      <w:proofErr w:type="spellEnd"/>
      <w:r>
        <w:t xml:space="preserve"> could result in an artificial increase in fire counts, which might be misinterpreted as a real upward trend in global fire activity. To maintain the homogeneity of the 21-year dataset for trend analysis, we </w:t>
      </w:r>
      <w:r>
        <w:lastRenderedPageBreak/>
        <w:t>prioritized sensor consistency. However, in the revised discussion, we explicitly acknowledge that this choice likely leads to an underestimation of emissions from small-scale agricultural fires, particularly in regions like the Middle East or India, where fires are often smaller than the MODIS detection threshold.</w:t>
      </w:r>
    </w:p>
    <w:p w14:paraId="013737C3" w14:textId="23D26FFE" w:rsidR="007C33B9" w:rsidRDefault="00156F66" w:rsidP="00156F66">
      <w:pPr>
        <w:spacing w:before="156" w:after="156"/>
      </w:pPr>
      <w:r>
        <w:t xml:space="preserve">In addition to sensor resolution, we also expanded the text to address omission errors driven by environmental heterogeneity, such as subsurface peat smoldering and canopy occlusion, which further constrain detection capabilities. By articulating these mechanisms, we highlight that the </w:t>
      </w:r>
      <w:proofErr w:type="spellStart"/>
      <w:r>
        <w:t>MBEI</w:t>
      </w:r>
      <w:proofErr w:type="spellEnd"/>
      <w:r>
        <w:t xml:space="preserve">, while robust, is still bound by the physics of the input sensors. To conclude this discussion, we emphasized the adaptability of our system: in conclusion, while the current version of </w:t>
      </w:r>
      <w:proofErr w:type="spellStart"/>
      <w:r>
        <w:t>MBEI</w:t>
      </w:r>
      <w:proofErr w:type="spellEnd"/>
      <w:r>
        <w:t xml:space="preserve"> quantifies uncertainty by integrating established methods, its modular design serves as a platform for incorporating new data inputs as they become available. This ensures a feasible pathway for iterative refinement, supporting more comprehensive assessments of global biomass burning emissions.</w:t>
      </w:r>
    </w:p>
    <w:p w14:paraId="3381A09C" w14:textId="6253D312" w:rsidR="00156F66" w:rsidRPr="00156F66" w:rsidRDefault="00156F66" w:rsidP="00156F66">
      <w:pPr>
        <w:spacing w:before="156" w:after="156"/>
        <w:rPr>
          <w:rFonts w:cs="Times New Roman"/>
          <w:color w:val="000000" w:themeColor="text1"/>
          <w:sz w:val="20"/>
          <w:szCs w:val="20"/>
        </w:rPr>
      </w:pPr>
      <w:r w:rsidRPr="00156F66">
        <w:rPr>
          <w:rFonts w:cs="Times New Roman"/>
          <w:color w:val="000000" w:themeColor="text1"/>
          <w:sz w:val="20"/>
          <w:szCs w:val="20"/>
        </w:rPr>
        <w:t>Please refer to Page 2</w:t>
      </w:r>
      <w:r>
        <w:rPr>
          <w:rFonts w:cs="Times New Roman" w:hint="eastAsia"/>
          <w:color w:val="000000" w:themeColor="text1"/>
          <w:sz w:val="20"/>
          <w:szCs w:val="20"/>
        </w:rPr>
        <w:t>9-30</w:t>
      </w:r>
      <w:r w:rsidRPr="00156F66">
        <w:rPr>
          <w:rFonts w:cs="Times New Roman"/>
          <w:color w:val="000000" w:themeColor="text1"/>
          <w:sz w:val="20"/>
          <w:szCs w:val="20"/>
        </w:rPr>
        <w:t xml:space="preserve">, Lines </w:t>
      </w:r>
      <w:r>
        <w:rPr>
          <w:rFonts w:cs="Times New Roman" w:hint="eastAsia"/>
          <w:color w:val="000000" w:themeColor="text1"/>
          <w:sz w:val="20"/>
          <w:szCs w:val="20"/>
        </w:rPr>
        <w:t>643</w:t>
      </w:r>
      <w:r w:rsidRPr="00156F66">
        <w:rPr>
          <w:rFonts w:cs="Times New Roman"/>
          <w:color w:val="000000" w:themeColor="text1"/>
          <w:sz w:val="20"/>
          <w:szCs w:val="20"/>
        </w:rPr>
        <w:t>-</w:t>
      </w:r>
      <w:r>
        <w:rPr>
          <w:rFonts w:cs="Times New Roman" w:hint="eastAsia"/>
          <w:color w:val="000000" w:themeColor="text1"/>
          <w:sz w:val="20"/>
          <w:szCs w:val="20"/>
        </w:rPr>
        <w:t>672</w:t>
      </w:r>
      <w:r w:rsidRPr="00156F66">
        <w:rPr>
          <w:rFonts w:cs="Times New Roman"/>
          <w:color w:val="000000" w:themeColor="text1"/>
          <w:sz w:val="20"/>
          <w:szCs w:val="20"/>
        </w:rPr>
        <w:t xml:space="preserve"> and the following is the revised manuscript:</w:t>
      </w:r>
    </w:p>
    <w:p w14:paraId="09D68762" w14:textId="77777777" w:rsidR="00156F66" w:rsidRPr="00156F66" w:rsidRDefault="00156F66" w:rsidP="00156F66">
      <w:pPr>
        <w:spacing w:before="156" w:after="156"/>
        <w:rPr>
          <w:rFonts w:cs="Times New Roman"/>
          <w:color w:val="215E99" w:themeColor="text2" w:themeTint="BF"/>
          <w:sz w:val="20"/>
          <w:szCs w:val="20"/>
        </w:rPr>
      </w:pPr>
      <w:r w:rsidRPr="00156F66">
        <w:rPr>
          <w:rFonts w:cs="Times New Roman"/>
          <w:color w:val="215E99" w:themeColor="text2" w:themeTint="BF"/>
          <w:sz w:val="20"/>
          <w:szCs w:val="20"/>
        </w:rPr>
        <w:t>A key decision in this study was to use MODIS active fire products (</w:t>
      </w:r>
      <w:proofErr w:type="spellStart"/>
      <w:r w:rsidRPr="00156F66">
        <w:rPr>
          <w:rFonts w:cs="Times New Roman"/>
          <w:color w:val="215E99" w:themeColor="text2" w:themeTint="BF"/>
          <w:sz w:val="20"/>
          <w:szCs w:val="20"/>
        </w:rPr>
        <w:t>MCD14DL</w:t>
      </w:r>
      <w:proofErr w:type="spellEnd"/>
      <w:r w:rsidRPr="00156F66">
        <w:rPr>
          <w:rFonts w:cs="Times New Roman"/>
          <w:color w:val="215E99" w:themeColor="text2" w:themeTint="BF"/>
          <w:sz w:val="20"/>
          <w:szCs w:val="20"/>
        </w:rPr>
        <w:t>) exclusively for the 2003–2023 period. Although the Visible Infrared Imaging Radiometer Suite (</w:t>
      </w:r>
      <w:proofErr w:type="spellStart"/>
      <w:r w:rsidRPr="00156F66">
        <w:rPr>
          <w:rFonts w:cs="Times New Roman"/>
          <w:color w:val="215E99" w:themeColor="text2" w:themeTint="BF"/>
          <w:sz w:val="20"/>
          <w:szCs w:val="20"/>
        </w:rPr>
        <w:t>VIIRS</w:t>
      </w:r>
      <w:proofErr w:type="spellEnd"/>
      <w:r w:rsidRPr="00156F66">
        <w:rPr>
          <w:rFonts w:cs="Times New Roman"/>
          <w:color w:val="215E99" w:themeColor="text2" w:themeTint="BF"/>
          <w:sz w:val="20"/>
          <w:szCs w:val="20"/>
        </w:rPr>
        <w:t xml:space="preserve">), available since 2012, offers superior spatial resolution (375 m) compared to MODIS (1 km), applying it would have limited the consistent time series to the post-2012 era. Merging MODIS (2003–2011) and </w:t>
      </w:r>
      <w:proofErr w:type="spellStart"/>
      <w:r w:rsidRPr="00156F66">
        <w:rPr>
          <w:rFonts w:cs="Times New Roman"/>
          <w:color w:val="215E99" w:themeColor="text2" w:themeTint="BF"/>
          <w:sz w:val="20"/>
          <w:szCs w:val="20"/>
        </w:rPr>
        <w:t>VIIRS</w:t>
      </w:r>
      <w:proofErr w:type="spellEnd"/>
      <w:r w:rsidRPr="00156F66">
        <w:rPr>
          <w:rFonts w:cs="Times New Roman"/>
          <w:color w:val="215E99" w:themeColor="text2" w:themeTint="BF"/>
          <w:sz w:val="20"/>
          <w:szCs w:val="20"/>
        </w:rPr>
        <w:t xml:space="preserve"> (2012–2023) records introduces a risk of inconsistency; the higher detection sensitivity of </w:t>
      </w:r>
      <w:proofErr w:type="spellStart"/>
      <w:r w:rsidRPr="00156F66">
        <w:rPr>
          <w:rFonts w:cs="Times New Roman"/>
          <w:color w:val="215E99" w:themeColor="text2" w:themeTint="BF"/>
          <w:sz w:val="20"/>
          <w:szCs w:val="20"/>
        </w:rPr>
        <w:t>VIIRS</w:t>
      </w:r>
      <w:proofErr w:type="spellEnd"/>
      <w:r w:rsidRPr="00156F66">
        <w:rPr>
          <w:rFonts w:cs="Times New Roman"/>
          <w:color w:val="215E99" w:themeColor="text2" w:themeTint="BF"/>
          <w:sz w:val="20"/>
          <w:szCs w:val="20"/>
        </w:rPr>
        <w:t xml:space="preserve"> could result in an artificial increase in fire counts, which might be misinterpreted as a real upward trend in global fire activity. To maintain the homogeneity of the 21-year dataset for trend analysis, we prioritized sensor consistency. We acknowledge that this choice likely leads to an underestimation of emissions from small-scale agricultural fires, particularly in regions like the Middle East or India, where fires are often smaller than the MODIS detection threshold (</w:t>
      </w:r>
      <w:proofErr w:type="spellStart"/>
      <w:r w:rsidRPr="00156F66">
        <w:rPr>
          <w:rFonts w:cs="Times New Roman"/>
          <w:color w:val="215E99" w:themeColor="text2" w:themeTint="BF"/>
          <w:sz w:val="20"/>
          <w:szCs w:val="20"/>
        </w:rPr>
        <w:t>Hantson</w:t>
      </w:r>
      <w:proofErr w:type="spellEnd"/>
      <w:r w:rsidRPr="00156F66">
        <w:rPr>
          <w:rFonts w:cs="Times New Roman"/>
          <w:color w:val="215E99" w:themeColor="text2" w:themeTint="BF"/>
          <w:sz w:val="20"/>
          <w:szCs w:val="20"/>
        </w:rPr>
        <w:t xml:space="preserve"> et al., 2013; Justice et al., 2002; </w:t>
      </w:r>
      <w:proofErr w:type="spellStart"/>
      <w:r w:rsidRPr="00156F66">
        <w:rPr>
          <w:rFonts w:cs="Times New Roman"/>
          <w:color w:val="215E99" w:themeColor="text2" w:themeTint="BF"/>
          <w:sz w:val="20"/>
          <w:szCs w:val="20"/>
        </w:rPr>
        <w:t>Vadrevu</w:t>
      </w:r>
      <w:proofErr w:type="spellEnd"/>
      <w:r w:rsidRPr="00156F66">
        <w:rPr>
          <w:rFonts w:cs="Times New Roman"/>
          <w:color w:val="215E99" w:themeColor="text2" w:themeTint="BF"/>
          <w:sz w:val="20"/>
          <w:szCs w:val="20"/>
        </w:rPr>
        <w:t xml:space="preserve"> and Lasko, 2018).</w:t>
      </w:r>
    </w:p>
    <w:p w14:paraId="06147ECB" w14:textId="77777777" w:rsidR="00156F66" w:rsidRPr="00156F66" w:rsidRDefault="00156F66" w:rsidP="00156F66">
      <w:pPr>
        <w:spacing w:before="156" w:after="156"/>
        <w:rPr>
          <w:rFonts w:cs="Times New Roman"/>
          <w:color w:val="215E99" w:themeColor="text2" w:themeTint="BF"/>
          <w:sz w:val="20"/>
          <w:szCs w:val="20"/>
        </w:rPr>
      </w:pPr>
      <w:r w:rsidRPr="00156F66">
        <w:rPr>
          <w:rFonts w:cs="Times New Roman"/>
          <w:color w:val="215E99" w:themeColor="text2" w:themeTint="BF"/>
          <w:sz w:val="20"/>
          <w:szCs w:val="20"/>
        </w:rPr>
        <w:t xml:space="preserve">In addition to sensor specifications, most current inventories relying on optical remote sensing face inherent physical limits driven by environmental heterogeneity. Complex surface conditions can constrain the effectiveness of estimation methods. For instance, in the peatlands of Equatorial Asia (e.g., Indonesia), fires often occur as subsurface low-temperature smoldering. The thermal radiation from these </w:t>
      </w:r>
      <w:r w:rsidRPr="00156F66">
        <w:rPr>
          <w:rFonts w:cs="Times New Roman"/>
          <w:color w:val="215E99" w:themeColor="text2" w:themeTint="BF"/>
          <w:sz w:val="20"/>
          <w:szCs w:val="20"/>
        </w:rPr>
        <w:lastRenderedPageBreak/>
        <w:t xml:space="preserve">fires is frequently too weak to trigger standard satellite detection algorithms (Rein and Huang, 2021; </w:t>
      </w:r>
      <w:proofErr w:type="spellStart"/>
      <w:r w:rsidRPr="00156F66">
        <w:rPr>
          <w:rFonts w:cs="Times New Roman"/>
          <w:color w:val="215E99" w:themeColor="text2" w:themeTint="BF"/>
          <w:sz w:val="20"/>
          <w:szCs w:val="20"/>
        </w:rPr>
        <w:t>Sofan</w:t>
      </w:r>
      <w:proofErr w:type="spellEnd"/>
      <w:r w:rsidRPr="00156F66">
        <w:rPr>
          <w:rFonts w:cs="Times New Roman"/>
          <w:color w:val="215E99" w:themeColor="text2" w:themeTint="BF"/>
          <w:sz w:val="20"/>
          <w:szCs w:val="20"/>
        </w:rPr>
        <w:t xml:space="preserve"> et al., 2019). Similarly, in dense tropical rainforests, the canopy layer can occlude or absorb thermal radiation emitted by understory fires (East et al., 2023). These scenarios contribute to omission errors in top-down, </w:t>
      </w:r>
      <w:proofErr w:type="spellStart"/>
      <w:r w:rsidRPr="00156F66">
        <w:rPr>
          <w:rFonts w:cs="Times New Roman"/>
          <w:color w:val="215E99" w:themeColor="text2" w:themeTint="BF"/>
          <w:sz w:val="20"/>
          <w:szCs w:val="20"/>
        </w:rPr>
        <w:t>FRP</w:t>
      </w:r>
      <w:proofErr w:type="spellEnd"/>
      <w:r w:rsidRPr="00156F66">
        <w:rPr>
          <w:rFonts w:cs="Times New Roman"/>
          <w:color w:val="215E99" w:themeColor="text2" w:themeTint="BF"/>
          <w:sz w:val="20"/>
          <w:szCs w:val="20"/>
        </w:rPr>
        <w:t xml:space="preserve">-based approaches (Morton et al., 2013; </w:t>
      </w:r>
      <w:proofErr w:type="spellStart"/>
      <w:r w:rsidRPr="00156F66">
        <w:rPr>
          <w:rFonts w:cs="Times New Roman"/>
          <w:color w:val="215E99" w:themeColor="text2" w:themeTint="BF"/>
          <w:sz w:val="20"/>
          <w:szCs w:val="20"/>
        </w:rPr>
        <w:t>Tyukavina</w:t>
      </w:r>
      <w:proofErr w:type="spellEnd"/>
      <w:r w:rsidRPr="00156F66">
        <w:rPr>
          <w:rFonts w:cs="Times New Roman"/>
          <w:color w:val="215E99" w:themeColor="text2" w:themeTint="BF"/>
          <w:sz w:val="20"/>
          <w:szCs w:val="20"/>
        </w:rPr>
        <w:t xml:space="preserve"> et al., 2022). Conversely, while bottom-up methods based on burned area can capture the spatial traces of these fires, they face challenges in accurately determining the depth of burn in organic soils (Ballhorn et al., 2009; Wiggins et al., 2018). Therefore, despite the integration of multiple algorithms in </w:t>
      </w:r>
      <w:proofErr w:type="spellStart"/>
      <w:r w:rsidRPr="00156F66">
        <w:rPr>
          <w:rFonts w:cs="Times New Roman"/>
          <w:color w:val="215E99" w:themeColor="text2" w:themeTint="BF"/>
          <w:sz w:val="20"/>
          <w:szCs w:val="20"/>
        </w:rPr>
        <w:t>MBEI</w:t>
      </w:r>
      <w:proofErr w:type="spellEnd"/>
      <w:r w:rsidRPr="00156F66">
        <w:rPr>
          <w:rFonts w:cs="Times New Roman"/>
          <w:color w:val="215E99" w:themeColor="text2" w:themeTint="BF"/>
          <w:sz w:val="20"/>
          <w:szCs w:val="20"/>
        </w:rPr>
        <w:t>, these physical constraints suggest a potential underestimation in our emission estimates for these specific biomes.</w:t>
      </w:r>
    </w:p>
    <w:p w14:paraId="540EA608" w14:textId="6BB5530E" w:rsidR="00156F66" w:rsidRPr="00156F66" w:rsidRDefault="00156F66" w:rsidP="00156F66">
      <w:pPr>
        <w:spacing w:before="156" w:after="156"/>
        <w:rPr>
          <w:rFonts w:cs="Times New Roman"/>
          <w:color w:val="215E99" w:themeColor="text2" w:themeTint="BF"/>
          <w:sz w:val="20"/>
          <w:szCs w:val="20"/>
        </w:rPr>
      </w:pPr>
      <w:r w:rsidRPr="00156F66">
        <w:rPr>
          <w:rFonts w:cs="Times New Roman"/>
          <w:color w:val="215E99" w:themeColor="text2" w:themeTint="BF"/>
          <w:sz w:val="20"/>
          <w:szCs w:val="20"/>
        </w:rPr>
        <w:t xml:space="preserve">Looking forward, the flexible architecture of </w:t>
      </w:r>
      <w:proofErr w:type="spellStart"/>
      <w:r w:rsidRPr="00156F66">
        <w:rPr>
          <w:rFonts w:cs="Times New Roman"/>
          <w:color w:val="215E99" w:themeColor="text2" w:themeTint="BF"/>
          <w:sz w:val="20"/>
          <w:szCs w:val="20"/>
        </w:rPr>
        <w:t>MBEI</w:t>
      </w:r>
      <w:proofErr w:type="spellEnd"/>
      <w:r w:rsidRPr="00156F66">
        <w:rPr>
          <w:rFonts w:cs="Times New Roman"/>
          <w:color w:val="215E99" w:themeColor="text2" w:themeTint="BF"/>
          <w:sz w:val="20"/>
          <w:szCs w:val="20"/>
        </w:rPr>
        <w:t xml:space="preserve"> is designed to incorporate emerging datasets to address these limitations. As the observational record of </w:t>
      </w:r>
      <w:proofErr w:type="spellStart"/>
      <w:r w:rsidRPr="00156F66">
        <w:rPr>
          <w:rFonts w:cs="Times New Roman"/>
          <w:color w:val="215E99" w:themeColor="text2" w:themeTint="BF"/>
          <w:sz w:val="20"/>
          <w:szCs w:val="20"/>
        </w:rPr>
        <w:t>VIIRS</w:t>
      </w:r>
      <w:proofErr w:type="spellEnd"/>
      <w:r w:rsidRPr="00156F66">
        <w:rPr>
          <w:rFonts w:cs="Times New Roman"/>
          <w:color w:val="215E99" w:themeColor="text2" w:themeTint="BF"/>
          <w:sz w:val="20"/>
          <w:szCs w:val="20"/>
        </w:rPr>
        <w:t xml:space="preserve"> extends, future versions of </w:t>
      </w:r>
      <w:proofErr w:type="spellStart"/>
      <w:r w:rsidRPr="00156F66">
        <w:rPr>
          <w:rFonts w:cs="Times New Roman"/>
          <w:color w:val="215E99" w:themeColor="text2" w:themeTint="BF"/>
          <w:sz w:val="20"/>
          <w:szCs w:val="20"/>
        </w:rPr>
        <w:t>MBEI</w:t>
      </w:r>
      <w:proofErr w:type="spellEnd"/>
      <w:r w:rsidRPr="00156F66">
        <w:rPr>
          <w:rFonts w:cs="Times New Roman"/>
          <w:color w:val="215E99" w:themeColor="text2" w:themeTint="BF"/>
          <w:sz w:val="20"/>
          <w:szCs w:val="20"/>
        </w:rPr>
        <w:t xml:space="preserve"> will integrate these data to improve the detection of small-scale fires once a sufficiently long and consistent record is established. Furthermore, data from new-generation geostationary satellites (e.g., FY-4, Himawari-8/9, GOES-R) offer a significant improvement in temporal resolution. Minute-level observations from these platforms will enable the direct integration of the Fire Radiative Power (</w:t>
      </w:r>
      <w:proofErr w:type="spellStart"/>
      <w:r w:rsidRPr="00156F66">
        <w:rPr>
          <w:rFonts w:cs="Times New Roman"/>
          <w:color w:val="215E99" w:themeColor="text2" w:themeTint="BF"/>
          <w:sz w:val="20"/>
          <w:szCs w:val="20"/>
        </w:rPr>
        <w:t>FRP</w:t>
      </w:r>
      <w:proofErr w:type="spellEnd"/>
      <w:r w:rsidRPr="00156F66">
        <w:rPr>
          <w:rFonts w:cs="Times New Roman"/>
          <w:color w:val="215E99" w:themeColor="text2" w:themeTint="BF"/>
          <w:sz w:val="20"/>
          <w:szCs w:val="20"/>
        </w:rPr>
        <w:t>) diurnal cycle, reducing the reliance on Gaussian extrapolation from sparse polar-orbiter snapshots and enhancing the physical realism of Fire Radiative Energy (FRE) estimation.</w:t>
      </w:r>
    </w:p>
    <w:p w14:paraId="6BE21E9E" w14:textId="2A5E0A16" w:rsidR="00156F66" w:rsidRPr="0087040C" w:rsidRDefault="0087040C" w:rsidP="00156F66">
      <w:pPr>
        <w:spacing w:before="156" w:after="156"/>
        <w:rPr>
          <w:rFonts w:cs="Times New Roman"/>
          <w:color w:val="000000" w:themeColor="text1"/>
          <w:sz w:val="20"/>
          <w:szCs w:val="20"/>
        </w:rPr>
      </w:pPr>
      <w:r w:rsidRPr="0087040C">
        <w:rPr>
          <w:rFonts w:cs="Times New Roman"/>
          <w:color w:val="000000" w:themeColor="text1"/>
          <w:sz w:val="20"/>
          <w:szCs w:val="20"/>
        </w:rPr>
        <w:t>Minor comments:</w:t>
      </w:r>
    </w:p>
    <w:p w14:paraId="4A419BAD" w14:textId="0B9A6A52" w:rsidR="0087040C" w:rsidRDefault="0087040C" w:rsidP="00156F66">
      <w:pPr>
        <w:spacing w:before="156" w:after="156"/>
        <w:rPr>
          <w:rFonts w:cs="Times New Roman"/>
          <w:color w:val="000000" w:themeColor="text1"/>
          <w:sz w:val="20"/>
          <w:szCs w:val="20"/>
        </w:rPr>
      </w:pPr>
      <w:r w:rsidRPr="0087040C">
        <w:rPr>
          <w:rFonts w:cs="Times New Roman" w:hint="eastAsia"/>
          <w:color w:val="000000" w:themeColor="text1"/>
          <w:sz w:val="20"/>
          <w:szCs w:val="20"/>
        </w:rPr>
        <w:t>1.</w:t>
      </w:r>
      <w:r w:rsidRPr="0087040C">
        <w:t xml:space="preserve"> </w:t>
      </w:r>
      <w:r w:rsidRPr="0087040C">
        <w:rPr>
          <w:rFonts w:cs="Times New Roman"/>
          <w:color w:val="000000" w:themeColor="text1"/>
          <w:sz w:val="20"/>
          <w:szCs w:val="20"/>
        </w:rPr>
        <w:t>Line 67-68: add references to support this statement.</w:t>
      </w:r>
    </w:p>
    <w:p w14:paraId="00571AF8" w14:textId="1EF86BCD" w:rsidR="0087040C" w:rsidRDefault="0087040C" w:rsidP="00156F66">
      <w:pPr>
        <w:spacing w:before="156" w:after="156"/>
        <w:rPr>
          <w:rFonts w:cs="Times New Roman"/>
          <w:color w:val="000000" w:themeColor="text1"/>
          <w:sz w:val="20"/>
          <w:szCs w:val="20"/>
        </w:rPr>
      </w:pPr>
      <w:r w:rsidRPr="0087040C">
        <w:rPr>
          <w:rFonts w:cs="Times New Roman"/>
          <w:b/>
          <w:bCs/>
          <w:color w:val="000000" w:themeColor="text1"/>
          <w:sz w:val="20"/>
          <w:szCs w:val="20"/>
        </w:rPr>
        <w:t>Response</w:t>
      </w:r>
      <w:r w:rsidRPr="0087040C">
        <w:rPr>
          <w:rFonts w:cs="Times New Roman"/>
          <w:color w:val="000000" w:themeColor="text1"/>
          <w:sz w:val="20"/>
          <w:szCs w:val="20"/>
        </w:rPr>
        <w:t>:</w:t>
      </w:r>
      <w:r>
        <w:rPr>
          <w:rFonts w:cs="Times New Roman" w:hint="eastAsia"/>
          <w:color w:val="000000" w:themeColor="text1"/>
          <w:sz w:val="20"/>
          <w:szCs w:val="20"/>
        </w:rPr>
        <w:t xml:space="preserve"> </w:t>
      </w:r>
      <w:r w:rsidRPr="0087040C">
        <w:rPr>
          <w:rFonts w:cs="Times New Roman"/>
          <w:color w:val="000000" w:themeColor="text1"/>
          <w:sz w:val="20"/>
          <w:szCs w:val="20"/>
        </w:rPr>
        <w:t>We sincerely thank the reviewer for pointing out the need for supporting citations to substantiate this foundational statement. We agree that referencing authoritative literature is essential for establishing the context of biomass burning as a key ecosystem disturbance. Accordingly, we have inserted citations to Bowman et al. (2020) and Jones et al. (2022) in the revised manuscript to support the text: "Biomass burning, encompassing forest fires, grassland fires, and the burning of agricultural residues, is a key disturbance in terrestrial ecosystems."</w:t>
      </w:r>
    </w:p>
    <w:p w14:paraId="7A42CE2B" w14:textId="70B9ADF9" w:rsidR="0087040C" w:rsidRDefault="0087040C" w:rsidP="00156F66">
      <w:pPr>
        <w:spacing w:before="156" w:after="156"/>
        <w:rPr>
          <w:rFonts w:cs="Times New Roman"/>
          <w:color w:val="000000" w:themeColor="text1"/>
          <w:sz w:val="20"/>
          <w:szCs w:val="20"/>
        </w:rPr>
      </w:pPr>
      <w:r w:rsidRPr="0087040C">
        <w:rPr>
          <w:rFonts w:cs="Times New Roman"/>
          <w:color w:val="000000" w:themeColor="text1"/>
          <w:sz w:val="20"/>
          <w:szCs w:val="20"/>
        </w:rPr>
        <w:t xml:space="preserve">Please refer to Page </w:t>
      </w:r>
      <w:r>
        <w:rPr>
          <w:rFonts w:cs="Times New Roman" w:hint="eastAsia"/>
          <w:color w:val="000000" w:themeColor="text1"/>
          <w:sz w:val="20"/>
          <w:szCs w:val="20"/>
        </w:rPr>
        <w:t>3</w:t>
      </w:r>
      <w:r w:rsidRPr="0087040C">
        <w:rPr>
          <w:rFonts w:cs="Times New Roman"/>
          <w:color w:val="000000" w:themeColor="text1"/>
          <w:sz w:val="20"/>
          <w:szCs w:val="20"/>
        </w:rPr>
        <w:t xml:space="preserve">, Lines </w:t>
      </w:r>
      <w:r>
        <w:rPr>
          <w:rFonts w:cs="Times New Roman" w:hint="eastAsia"/>
          <w:color w:val="000000" w:themeColor="text1"/>
          <w:sz w:val="20"/>
          <w:szCs w:val="20"/>
        </w:rPr>
        <w:t>69</w:t>
      </w:r>
      <w:r w:rsidRPr="0087040C">
        <w:rPr>
          <w:rFonts w:cs="Times New Roman"/>
          <w:color w:val="000000" w:themeColor="text1"/>
          <w:sz w:val="20"/>
          <w:szCs w:val="20"/>
        </w:rPr>
        <w:t>-</w:t>
      </w:r>
      <w:r>
        <w:rPr>
          <w:rFonts w:cs="Times New Roman" w:hint="eastAsia"/>
          <w:color w:val="000000" w:themeColor="text1"/>
          <w:sz w:val="20"/>
          <w:szCs w:val="20"/>
        </w:rPr>
        <w:t>70</w:t>
      </w:r>
      <w:r w:rsidRPr="0087040C">
        <w:rPr>
          <w:rFonts w:cs="Times New Roman"/>
          <w:color w:val="000000" w:themeColor="text1"/>
          <w:sz w:val="20"/>
          <w:szCs w:val="20"/>
        </w:rPr>
        <w:t xml:space="preserve"> and the following is the revised manuscript:</w:t>
      </w:r>
    </w:p>
    <w:p w14:paraId="5DDDF8AD" w14:textId="140E7098" w:rsidR="0087040C" w:rsidRDefault="0087040C" w:rsidP="00156F66">
      <w:pPr>
        <w:spacing w:before="156" w:after="156"/>
        <w:rPr>
          <w:rFonts w:cs="Times New Roman"/>
          <w:color w:val="215E99" w:themeColor="text2" w:themeTint="BF"/>
          <w:sz w:val="20"/>
          <w:szCs w:val="20"/>
        </w:rPr>
      </w:pPr>
      <w:r w:rsidRPr="0087040C">
        <w:rPr>
          <w:rFonts w:cs="Times New Roman"/>
          <w:color w:val="215E99" w:themeColor="text2" w:themeTint="BF"/>
          <w:sz w:val="20"/>
          <w:szCs w:val="20"/>
        </w:rPr>
        <w:t>Biomass burning, encompassing forest fires, grassland fires, and the burning of agricultural residues, is a key disturbance in terrestrial ecosystems (Bowman et al., 2020; Jones et al., 2022).</w:t>
      </w:r>
    </w:p>
    <w:p w14:paraId="1B5CAD49" w14:textId="77777777" w:rsidR="0087040C" w:rsidRPr="0087040C" w:rsidRDefault="0087040C" w:rsidP="00156F66">
      <w:pPr>
        <w:spacing w:before="156" w:after="156"/>
        <w:rPr>
          <w:rFonts w:cs="Times New Roman"/>
          <w:color w:val="215E99" w:themeColor="text2" w:themeTint="BF"/>
          <w:sz w:val="20"/>
          <w:szCs w:val="20"/>
        </w:rPr>
      </w:pPr>
    </w:p>
    <w:p w14:paraId="0757C6BF" w14:textId="2FF6CC2A" w:rsidR="0087040C" w:rsidRDefault="0087040C" w:rsidP="00156F66">
      <w:pPr>
        <w:spacing w:before="156" w:after="156"/>
        <w:rPr>
          <w:rFonts w:cs="Times New Roman"/>
          <w:color w:val="000000" w:themeColor="text1"/>
          <w:sz w:val="20"/>
          <w:szCs w:val="20"/>
        </w:rPr>
      </w:pPr>
      <w:r w:rsidRPr="0087040C">
        <w:rPr>
          <w:rFonts w:cs="Times New Roman" w:hint="eastAsia"/>
          <w:color w:val="000000" w:themeColor="text1"/>
          <w:sz w:val="20"/>
          <w:szCs w:val="20"/>
        </w:rPr>
        <w:t>2.</w:t>
      </w:r>
      <w:r w:rsidRPr="0087040C">
        <w:t xml:space="preserve"> </w:t>
      </w:r>
      <w:r w:rsidRPr="0087040C">
        <w:rPr>
          <w:rFonts w:cs="Times New Roman"/>
          <w:color w:val="000000" w:themeColor="text1"/>
          <w:sz w:val="20"/>
          <w:szCs w:val="20"/>
        </w:rPr>
        <w:t>Lines 90–91: An extraneous period appears after “</w:t>
      </w:r>
      <w:proofErr w:type="spellStart"/>
      <w:r w:rsidRPr="0087040C">
        <w:rPr>
          <w:rFonts w:cs="Times New Roman"/>
          <w:color w:val="000000" w:themeColor="text1"/>
          <w:sz w:val="20"/>
          <w:szCs w:val="20"/>
        </w:rPr>
        <w:t>Karanasiou</w:t>
      </w:r>
      <w:proofErr w:type="spellEnd"/>
      <w:r w:rsidRPr="0087040C">
        <w:rPr>
          <w:rFonts w:cs="Times New Roman"/>
          <w:color w:val="000000" w:themeColor="text1"/>
          <w:sz w:val="20"/>
          <w:szCs w:val="20"/>
        </w:rPr>
        <w:t xml:space="preserve"> et al (2021)”. Please remove it to ensure proper punctuation.</w:t>
      </w:r>
    </w:p>
    <w:p w14:paraId="3AC06406" w14:textId="1D273A5B" w:rsidR="0087040C" w:rsidRDefault="0087040C" w:rsidP="0087040C">
      <w:pPr>
        <w:spacing w:before="156" w:after="156"/>
        <w:rPr>
          <w:rFonts w:cs="Times New Roman"/>
          <w:color w:val="000000" w:themeColor="text1"/>
          <w:sz w:val="20"/>
          <w:szCs w:val="20"/>
        </w:rPr>
      </w:pPr>
      <w:r w:rsidRPr="0087040C">
        <w:rPr>
          <w:rFonts w:cs="Times New Roman"/>
          <w:b/>
          <w:bCs/>
          <w:color w:val="000000" w:themeColor="text1"/>
          <w:sz w:val="20"/>
          <w:szCs w:val="20"/>
        </w:rPr>
        <w:t>Response</w:t>
      </w:r>
      <w:r w:rsidRPr="0087040C">
        <w:rPr>
          <w:rFonts w:cs="Times New Roman"/>
          <w:color w:val="000000" w:themeColor="text1"/>
          <w:sz w:val="20"/>
          <w:szCs w:val="20"/>
        </w:rPr>
        <w:t>:</w:t>
      </w:r>
      <w:r>
        <w:rPr>
          <w:rFonts w:cs="Times New Roman" w:hint="eastAsia"/>
          <w:color w:val="000000" w:themeColor="text1"/>
          <w:sz w:val="20"/>
          <w:szCs w:val="20"/>
        </w:rPr>
        <w:t xml:space="preserve"> </w:t>
      </w:r>
      <w:r w:rsidRPr="0087040C">
        <w:rPr>
          <w:rFonts w:cs="Times New Roman"/>
          <w:color w:val="000000" w:themeColor="text1"/>
          <w:sz w:val="20"/>
          <w:szCs w:val="20"/>
        </w:rPr>
        <w:t>We appreciate the reviewer’s meticulous attention to detail regarding punctuation. We have removed the extraneous period following "</w:t>
      </w:r>
      <w:proofErr w:type="spellStart"/>
      <w:r w:rsidRPr="0087040C">
        <w:rPr>
          <w:rFonts w:cs="Times New Roman"/>
          <w:color w:val="000000" w:themeColor="text1"/>
          <w:sz w:val="20"/>
          <w:szCs w:val="20"/>
        </w:rPr>
        <w:t>Karanasiou</w:t>
      </w:r>
      <w:proofErr w:type="spellEnd"/>
      <w:r w:rsidRPr="0087040C">
        <w:rPr>
          <w:rFonts w:cs="Times New Roman"/>
          <w:color w:val="000000" w:themeColor="text1"/>
          <w:sz w:val="20"/>
          <w:szCs w:val="20"/>
        </w:rPr>
        <w:t xml:space="preserve"> et al. (2021)" to ensure grammatical correctness and proper sentence flow.</w:t>
      </w:r>
    </w:p>
    <w:p w14:paraId="01CA0E67" w14:textId="4A4DF67B" w:rsidR="0087040C" w:rsidRDefault="0087040C" w:rsidP="0087040C">
      <w:pPr>
        <w:spacing w:before="156" w:after="156"/>
        <w:rPr>
          <w:rFonts w:cs="Times New Roman"/>
          <w:color w:val="000000" w:themeColor="text1"/>
          <w:sz w:val="20"/>
          <w:szCs w:val="20"/>
        </w:rPr>
      </w:pPr>
      <w:r w:rsidRPr="0087040C">
        <w:rPr>
          <w:rFonts w:cs="Times New Roman"/>
          <w:color w:val="000000" w:themeColor="text1"/>
          <w:sz w:val="20"/>
          <w:szCs w:val="20"/>
        </w:rPr>
        <w:t xml:space="preserve">Please refer to Page </w:t>
      </w:r>
      <w:r>
        <w:rPr>
          <w:rFonts w:cs="Times New Roman" w:hint="eastAsia"/>
          <w:color w:val="000000" w:themeColor="text1"/>
          <w:sz w:val="20"/>
          <w:szCs w:val="20"/>
        </w:rPr>
        <w:t>3</w:t>
      </w:r>
      <w:r w:rsidRPr="0087040C">
        <w:rPr>
          <w:rFonts w:cs="Times New Roman"/>
          <w:color w:val="000000" w:themeColor="text1"/>
          <w:sz w:val="20"/>
          <w:szCs w:val="20"/>
        </w:rPr>
        <w:t xml:space="preserve">, Lines </w:t>
      </w:r>
      <w:r>
        <w:rPr>
          <w:rFonts w:cs="Times New Roman" w:hint="eastAsia"/>
          <w:color w:val="000000" w:themeColor="text1"/>
          <w:sz w:val="20"/>
          <w:szCs w:val="20"/>
        </w:rPr>
        <w:t>92</w:t>
      </w:r>
      <w:r w:rsidRPr="0087040C">
        <w:rPr>
          <w:rFonts w:cs="Times New Roman"/>
          <w:color w:val="000000" w:themeColor="text1"/>
          <w:sz w:val="20"/>
          <w:szCs w:val="20"/>
        </w:rPr>
        <w:t xml:space="preserve"> and the following is the revised manuscript:</w:t>
      </w:r>
    </w:p>
    <w:p w14:paraId="3F973F30" w14:textId="206581A4" w:rsidR="0087040C" w:rsidRDefault="0087040C" w:rsidP="0087040C">
      <w:pPr>
        <w:spacing w:before="156" w:after="156"/>
        <w:rPr>
          <w:rFonts w:cs="Times New Roman"/>
          <w:color w:val="215E99" w:themeColor="text2" w:themeTint="BF"/>
          <w:sz w:val="20"/>
          <w:szCs w:val="20"/>
        </w:rPr>
      </w:pPr>
      <w:r w:rsidRPr="0087040C">
        <w:rPr>
          <w:rFonts w:cs="Times New Roman"/>
          <w:color w:val="215E99" w:themeColor="text2" w:themeTint="BF"/>
          <w:sz w:val="20"/>
          <w:szCs w:val="20"/>
        </w:rPr>
        <w:t>A meta-analysis of 81 studies (1980–2020) (</w:t>
      </w:r>
      <w:proofErr w:type="spellStart"/>
      <w:r w:rsidRPr="0087040C">
        <w:rPr>
          <w:rFonts w:cs="Times New Roman"/>
          <w:color w:val="215E99" w:themeColor="text2" w:themeTint="BF"/>
          <w:sz w:val="20"/>
          <w:szCs w:val="20"/>
        </w:rPr>
        <w:t>Karanasiou</w:t>
      </w:r>
      <w:proofErr w:type="spellEnd"/>
      <w:r w:rsidRPr="0087040C">
        <w:rPr>
          <w:rFonts w:cs="Times New Roman"/>
          <w:color w:val="215E99" w:themeColor="text2" w:themeTint="BF"/>
          <w:sz w:val="20"/>
          <w:szCs w:val="20"/>
        </w:rPr>
        <w:t xml:space="preserve"> et al., 2021).</w:t>
      </w:r>
    </w:p>
    <w:p w14:paraId="6CB4147B" w14:textId="77777777" w:rsidR="0087040C" w:rsidRPr="0087040C" w:rsidRDefault="0087040C" w:rsidP="00156F66">
      <w:pPr>
        <w:spacing w:before="156" w:after="156"/>
        <w:rPr>
          <w:rFonts w:cs="Times New Roman"/>
          <w:color w:val="000000" w:themeColor="text1"/>
          <w:sz w:val="20"/>
          <w:szCs w:val="20"/>
        </w:rPr>
      </w:pPr>
    </w:p>
    <w:p w14:paraId="62BEE7EF" w14:textId="0160A05D" w:rsidR="0087040C" w:rsidRDefault="0087040C" w:rsidP="00156F66">
      <w:pPr>
        <w:spacing w:before="156" w:after="156"/>
        <w:rPr>
          <w:rFonts w:cs="Times New Roman"/>
          <w:color w:val="000000" w:themeColor="text1"/>
          <w:sz w:val="20"/>
          <w:szCs w:val="20"/>
        </w:rPr>
      </w:pPr>
      <w:r w:rsidRPr="0087040C">
        <w:rPr>
          <w:rFonts w:cs="Times New Roman" w:hint="eastAsia"/>
          <w:color w:val="000000" w:themeColor="text1"/>
          <w:sz w:val="20"/>
          <w:szCs w:val="20"/>
        </w:rPr>
        <w:t>3.</w:t>
      </w:r>
      <w:r>
        <w:rPr>
          <w:rFonts w:cs="Times New Roman" w:hint="eastAsia"/>
          <w:color w:val="000000" w:themeColor="text1"/>
          <w:sz w:val="20"/>
          <w:szCs w:val="20"/>
        </w:rPr>
        <w:t xml:space="preserve"> </w:t>
      </w:r>
      <w:r w:rsidRPr="0087040C">
        <w:rPr>
          <w:rFonts w:cs="Times New Roman"/>
          <w:color w:val="000000" w:themeColor="text1"/>
          <w:sz w:val="20"/>
          <w:szCs w:val="20"/>
        </w:rPr>
        <w:t>There are some grammar issues and please proofread the entire manuscript carefully before resubmission. For example, Line 102-103, “Atmospheric Chemistry Transport Models used for air quality forecasting and source apportionment, rely on emission inventories with high spatiotemporal resolution and reliability”.</w:t>
      </w:r>
    </w:p>
    <w:p w14:paraId="65A61F63" w14:textId="3BD93AFC" w:rsidR="0087040C" w:rsidRPr="0087040C" w:rsidRDefault="0087040C" w:rsidP="0087040C">
      <w:pPr>
        <w:spacing w:before="156" w:after="156"/>
        <w:rPr>
          <w:rFonts w:cs="Times New Roman"/>
          <w:color w:val="000000" w:themeColor="text1"/>
          <w:sz w:val="20"/>
          <w:szCs w:val="20"/>
        </w:rPr>
      </w:pPr>
      <w:bookmarkStart w:id="7" w:name="_Hlk217742368"/>
      <w:r w:rsidRPr="0087040C">
        <w:rPr>
          <w:rFonts w:cs="Times New Roman"/>
          <w:b/>
          <w:bCs/>
          <w:color w:val="000000" w:themeColor="text1"/>
          <w:sz w:val="20"/>
          <w:szCs w:val="20"/>
        </w:rPr>
        <w:t>Response:</w:t>
      </w:r>
      <w:r w:rsidRPr="0087040C">
        <w:rPr>
          <w:rFonts w:cs="Times New Roman"/>
          <w:color w:val="000000" w:themeColor="text1"/>
          <w:sz w:val="20"/>
          <w:szCs w:val="20"/>
        </w:rPr>
        <w:t xml:space="preserve"> We apologize for the grammatical oversight in Lines 102–103 and for any other linguistic imperfections in the original draft. We have corrected the specific sentence to read: "Atmospheric Chemistry Transport Models, which are used for air quality forecasting and source apportionment, rely on emission inventories with high spatiotemporal resolution and reliability." Furthermore, prior to this resubmission, we have conducted a comprehensive proofreading of the entire manuscript to eliminate grammatical errors and enhance the overall clarity and fluency of the English text.</w:t>
      </w:r>
    </w:p>
    <w:p w14:paraId="310EFFEB" w14:textId="77777777" w:rsidR="0087040C" w:rsidRPr="0087040C" w:rsidRDefault="0087040C" w:rsidP="0087040C">
      <w:pPr>
        <w:spacing w:before="156" w:after="156"/>
        <w:rPr>
          <w:rFonts w:cs="Times New Roman"/>
          <w:color w:val="000000" w:themeColor="text1"/>
          <w:sz w:val="20"/>
          <w:szCs w:val="20"/>
        </w:rPr>
      </w:pPr>
      <w:r w:rsidRPr="0087040C">
        <w:rPr>
          <w:rFonts w:cs="Times New Roman"/>
          <w:color w:val="000000" w:themeColor="text1"/>
          <w:sz w:val="20"/>
          <w:szCs w:val="20"/>
        </w:rPr>
        <w:t>Please refer to Page 3, Lines 92 and the following is the revised manuscript:</w:t>
      </w:r>
    </w:p>
    <w:p w14:paraId="021DBD1D" w14:textId="3D6A171D" w:rsidR="0087040C" w:rsidRPr="0087040C" w:rsidRDefault="0087040C" w:rsidP="0087040C">
      <w:pPr>
        <w:spacing w:before="156" w:after="156"/>
        <w:rPr>
          <w:rFonts w:cs="Times New Roman"/>
          <w:color w:val="215E99" w:themeColor="text2" w:themeTint="BF"/>
          <w:sz w:val="20"/>
          <w:szCs w:val="20"/>
        </w:rPr>
      </w:pPr>
      <w:r w:rsidRPr="0087040C">
        <w:rPr>
          <w:rFonts w:cs="Times New Roman"/>
          <w:color w:val="215E99" w:themeColor="text2" w:themeTint="BF"/>
          <w:sz w:val="20"/>
          <w:szCs w:val="20"/>
        </w:rPr>
        <w:t>Atmospheric Chemistry Transport Models, which are used for air quality forecasting and source apportionment, rely on emission inventories with high spatiotemporal resolution and reliability.</w:t>
      </w:r>
    </w:p>
    <w:bookmarkEnd w:id="7"/>
    <w:p w14:paraId="006FC062" w14:textId="77777777" w:rsidR="0087040C" w:rsidRPr="0087040C" w:rsidRDefault="0087040C" w:rsidP="0087040C">
      <w:pPr>
        <w:spacing w:before="156" w:after="156"/>
        <w:rPr>
          <w:rFonts w:cs="Times New Roman"/>
          <w:color w:val="000000" w:themeColor="text1"/>
          <w:sz w:val="20"/>
          <w:szCs w:val="20"/>
        </w:rPr>
      </w:pPr>
    </w:p>
    <w:p w14:paraId="59845224" w14:textId="36DEFAF2" w:rsidR="0087040C" w:rsidRDefault="0087040C" w:rsidP="00156F66">
      <w:pPr>
        <w:spacing w:before="156" w:after="156"/>
        <w:rPr>
          <w:rFonts w:cs="Times New Roman"/>
          <w:color w:val="000000" w:themeColor="text1"/>
          <w:sz w:val="20"/>
          <w:szCs w:val="20"/>
        </w:rPr>
      </w:pPr>
      <w:r w:rsidRPr="0087040C">
        <w:rPr>
          <w:rFonts w:cs="Times New Roman" w:hint="eastAsia"/>
          <w:color w:val="000000" w:themeColor="text1"/>
          <w:sz w:val="20"/>
          <w:szCs w:val="20"/>
        </w:rPr>
        <w:t>4.</w:t>
      </w:r>
      <w:r w:rsidRPr="0087040C">
        <w:t xml:space="preserve"> </w:t>
      </w:r>
      <w:r w:rsidRPr="0087040C">
        <w:rPr>
          <w:rFonts w:cs="Times New Roman"/>
          <w:color w:val="000000" w:themeColor="text1"/>
          <w:sz w:val="20"/>
          <w:szCs w:val="20"/>
        </w:rPr>
        <w:t>Line 182: The current format is cluttered and hard to read. Please reformat it.</w:t>
      </w:r>
    </w:p>
    <w:p w14:paraId="464F5CFA" w14:textId="375F3832" w:rsidR="0087040C" w:rsidRPr="0087040C" w:rsidRDefault="0087040C" w:rsidP="0087040C">
      <w:pPr>
        <w:spacing w:before="156" w:after="156"/>
        <w:rPr>
          <w:rFonts w:cs="Times New Roman"/>
          <w:color w:val="000000" w:themeColor="text1"/>
          <w:sz w:val="20"/>
          <w:szCs w:val="20"/>
        </w:rPr>
      </w:pPr>
      <w:r w:rsidRPr="0087040C">
        <w:rPr>
          <w:rFonts w:cs="Times New Roman"/>
          <w:b/>
          <w:bCs/>
          <w:color w:val="000000" w:themeColor="text1"/>
          <w:sz w:val="20"/>
          <w:szCs w:val="20"/>
        </w:rPr>
        <w:t>Response:</w:t>
      </w:r>
      <w:r w:rsidRPr="0087040C">
        <w:rPr>
          <w:rFonts w:cs="Times New Roman"/>
          <w:color w:val="000000" w:themeColor="text1"/>
          <w:sz w:val="20"/>
          <w:szCs w:val="20"/>
        </w:rPr>
        <w:t xml:space="preserve"> </w:t>
      </w:r>
      <w:r w:rsidR="00BF0BFB" w:rsidRPr="00BF0BFB">
        <w:rPr>
          <w:rFonts w:cs="Times New Roman"/>
          <w:color w:val="000000" w:themeColor="text1"/>
          <w:sz w:val="20"/>
          <w:szCs w:val="20"/>
        </w:rPr>
        <w:t xml:space="preserve">We thank the reviewer for noting the formatting issues in Table 1. We agree that a cluttered presentation hinders readability and have therefore completely reformatted Table 1. The revised table </w:t>
      </w:r>
      <w:r w:rsidR="00BF0BFB" w:rsidRPr="00BF0BFB">
        <w:rPr>
          <w:rFonts w:cs="Times New Roman"/>
          <w:color w:val="000000" w:themeColor="text1"/>
          <w:sz w:val="20"/>
          <w:szCs w:val="20"/>
        </w:rPr>
        <w:lastRenderedPageBreak/>
        <w:t>now presents the dataset information in a clean, organized, and reader-friendly manner</w:t>
      </w:r>
      <w:r w:rsidRPr="0087040C">
        <w:rPr>
          <w:rFonts w:cs="Times New Roman"/>
          <w:color w:val="000000" w:themeColor="text1"/>
          <w:sz w:val="20"/>
          <w:szCs w:val="20"/>
        </w:rPr>
        <w:t>.</w:t>
      </w:r>
    </w:p>
    <w:p w14:paraId="6DAEC75F" w14:textId="4D1F757B" w:rsidR="0087040C" w:rsidRPr="0087040C" w:rsidRDefault="0087040C" w:rsidP="0087040C">
      <w:pPr>
        <w:spacing w:before="156" w:after="156"/>
        <w:rPr>
          <w:rFonts w:cs="Times New Roman"/>
          <w:color w:val="000000" w:themeColor="text1"/>
          <w:sz w:val="20"/>
          <w:szCs w:val="20"/>
        </w:rPr>
      </w:pPr>
      <w:bookmarkStart w:id="8" w:name="_Hlk217742672"/>
      <w:r w:rsidRPr="0087040C">
        <w:rPr>
          <w:rFonts w:cs="Times New Roman"/>
          <w:color w:val="000000" w:themeColor="text1"/>
          <w:sz w:val="20"/>
          <w:szCs w:val="20"/>
        </w:rPr>
        <w:t>Please refer to the following is the revised</w:t>
      </w:r>
      <w:r w:rsidR="00BF0BFB">
        <w:rPr>
          <w:rFonts w:cs="Times New Roman" w:hint="eastAsia"/>
          <w:color w:val="000000" w:themeColor="text1"/>
          <w:sz w:val="20"/>
          <w:szCs w:val="20"/>
        </w:rPr>
        <w:t xml:space="preserve"> Table 1</w:t>
      </w:r>
      <w:r w:rsidRPr="0087040C">
        <w:rPr>
          <w:rFonts w:cs="Times New Roman"/>
          <w:color w:val="000000" w:themeColor="text1"/>
          <w:sz w:val="20"/>
          <w:szCs w:val="20"/>
        </w:rPr>
        <w:t>:</w:t>
      </w:r>
    </w:p>
    <w:bookmarkEnd w:id="8"/>
    <w:p w14:paraId="7B43059B" w14:textId="77777777" w:rsidR="00BF0BFB" w:rsidRPr="00BF0BFB" w:rsidRDefault="00BF0BFB" w:rsidP="00BF0BFB">
      <w:pPr>
        <w:widowControl/>
        <w:spacing w:beforeLines="0" w:before="0" w:afterLines="0" w:after="200" w:line="240" w:lineRule="auto"/>
        <w:jc w:val="center"/>
        <w:rPr>
          <w:rFonts w:eastAsia="Times New Roman" w:cs="Times New Roman"/>
          <w:b/>
          <w:bCs/>
          <w:sz w:val="20"/>
          <w:szCs w:val="20"/>
          <w:lang w:bidi="ar-SA"/>
        </w:rPr>
      </w:pPr>
      <w:r w:rsidRPr="00BF0BFB">
        <w:rPr>
          <w:rFonts w:eastAsia="Times New Roman" w:cs="Times New Roman"/>
          <w:b/>
          <w:bCs/>
          <w:sz w:val="20"/>
          <w:szCs w:val="20"/>
          <w:lang w:bidi="ar-SA"/>
        </w:rPr>
        <w:t>Table 1. Datasets used in this study.</w:t>
      </w:r>
    </w:p>
    <w:tbl>
      <w:tblPr>
        <w:tblStyle w:val="af7"/>
        <w:tblW w:w="9072"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0"/>
        <w:gridCol w:w="1765"/>
        <w:gridCol w:w="1130"/>
        <w:gridCol w:w="1569"/>
        <w:gridCol w:w="1417"/>
        <w:gridCol w:w="1701"/>
      </w:tblGrid>
      <w:tr w:rsidR="00BF0BFB" w:rsidRPr="00BF0BFB" w14:paraId="0BB9DB91" w14:textId="77777777" w:rsidTr="004A7EDC">
        <w:trPr>
          <w:cantSplit/>
          <w:jc w:val="center"/>
        </w:trPr>
        <w:tc>
          <w:tcPr>
            <w:tcW w:w="0" w:type="auto"/>
            <w:tcBorders>
              <w:top w:val="single" w:sz="4" w:space="0" w:color="auto"/>
              <w:bottom w:val="single" w:sz="4" w:space="0" w:color="auto"/>
            </w:tcBorders>
            <w:vAlign w:val="center"/>
          </w:tcPr>
          <w:p w14:paraId="553B0BCF" w14:textId="77777777" w:rsidR="00BF0BFB" w:rsidRPr="00BF0BFB" w:rsidRDefault="00BF0BFB" w:rsidP="00BF0BFB">
            <w:pPr>
              <w:widowControl/>
              <w:spacing w:beforeLines="0" w:before="0" w:afterLines="0" w:after="0" w:line="240" w:lineRule="auto"/>
              <w:jc w:val="center"/>
              <w:rPr>
                <w:sz w:val="18"/>
                <w:szCs w:val="18"/>
                <w:lang w:bidi="ar-SA"/>
              </w:rPr>
            </w:pPr>
            <w:bookmarkStart w:id="9" w:name="_Hlk206614043"/>
            <w:r w:rsidRPr="00BF0BFB">
              <w:rPr>
                <w:sz w:val="18"/>
                <w:szCs w:val="18"/>
                <w:lang w:bidi="ar-SA"/>
              </w:rPr>
              <w:t xml:space="preserve">Data </w:t>
            </w:r>
            <w:r w:rsidRPr="00BF0BFB">
              <w:rPr>
                <w:rFonts w:hint="eastAsia"/>
                <w:sz w:val="18"/>
                <w:szCs w:val="18"/>
                <w:lang w:bidi="ar-SA"/>
              </w:rPr>
              <w:t>types</w:t>
            </w:r>
          </w:p>
        </w:tc>
        <w:tc>
          <w:tcPr>
            <w:tcW w:w="0" w:type="auto"/>
            <w:tcBorders>
              <w:top w:val="single" w:sz="4" w:space="0" w:color="auto"/>
              <w:bottom w:val="single" w:sz="4" w:space="0" w:color="auto"/>
            </w:tcBorders>
            <w:vAlign w:val="center"/>
          </w:tcPr>
          <w:p w14:paraId="5540F1D1"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Name</w:t>
            </w:r>
          </w:p>
        </w:tc>
        <w:tc>
          <w:tcPr>
            <w:tcW w:w="0" w:type="auto"/>
            <w:tcBorders>
              <w:top w:val="single" w:sz="4" w:space="0" w:color="auto"/>
              <w:bottom w:val="single" w:sz="4" w:space="0" w:color="auto"/>
            </w:tcBorders>
            <w:vAlign w:val="center"/>
          </w:tcPr>
          <w:p w14:paraId="3789D52A"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Temporal Coverage</w:t>
            </w:r>
          </w:p>
        </w:tc>
        <w:tc>
          <w:tcPr>
            <w:tcW w:w="1569" w:type="dxa"/>
            <w:tcBorders>
              <w:top w:val="single" w:sz="4" w:space="0" w:color="auto"/>
              <w:bottom w:val="single" w:sz="4" w:space="0" w:color="auto"/>
            </w:tcBorders>
            <w:vAlign w:val="center"/>
          </w:tcPr>
          <w:p w14:paraId="3DC377DC"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Spatial Resolution</w:t>
            </w:r>
          </w:p>
        </w:tc>
        <w:tc>
          <w:tcPr>
            <w:tcW w:w="1417" w:type="dxa"/>
            <w:tcBorders>
              <w:top w:val="single" w:sz="4" w:space="0" w:color="auto"/>
              <w:bottom w:val="single" w:sz="4" w:space="0" w:color="auto"/>
            </w:tcBorders>
            <w:vAlign w:val="center"/>
          </w:tcPr>
          <w:p w14:paraId="0EDA1754"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Temporal Resolution</w:t>
            </w:r>
          </w:p>
        </w:tc>
        <w:tc>
          <w:tcPr>
            <w:tcW w:w="1701" w:type="dxa"/>
            <w:tcBorders>
              <w:top w:val="single" w:sz="4" w:space="0" w:color="auto"/>
              <w:bottom w:val="single" w:sz="4" w:space="0" w:color="auto"/>
            </w:tcBorders>
            <w:vAlign w:val="center"/>
          </w:tcPr>
          <w:p w14:paraId="5FBDB446"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Reference</w:t>
            </w:r>
          </w:p>
        </w:tc>
      </w:tr>
      <w:bookmarkEnd w:id="9"/>
      <w:tr w:rsidR="00BF0BFB" w:rsidRPr="00BF0BFB" w14:paraId="7E3FA5AE" w14:textId="77777777" w:rsidTr="004A7EDC">
        <w:trPr>
          <w:cantSplit/>
          <w:trHeight w:val="1113"/>
          <w:jc w:val="center"/>
        </w:trPr>
        <w:tc>
          <w:tcPr>
            <w:tcW w:w="0" w:type="auto"/>
            <w:vMerge w:val="restart"/>
            <w:tcBorders>
              <w:top w:val="single" w:sz="4" w:space="0" w:color="auto"/>
              <w:bottom w:val="nil"/>
            </w:tcBorders>
            <w:vAlign w:val="center"/>
          </w:tcPr>
          <w:p w14:paraId="7428FFFF"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Active Fire Data</w:t>
            </w:r>
          </w:p>
        </w:tc>
        <w:tc>
          <w:tcPr>
            <w:tcW w:w="0" w:type="auto"/>
            <w:tcBorders>
              <w:top w:val="single" w:sz="4" w:space="0" w:color="auto"/>
              <w:bottom w:val="single" w:sz="4" w:space="0" w:color="auto"/>
            </w:tcBorders>
            <w:vAlign w:val="center"/>
          </w:tcPr>
          <w:p w14:paraId="63F1CDEC"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Aqua</w:t>
            </w:r>
          </w:p>
          <w:p w14:paraId="4E75D357" w14:textId="77777777" w:rsidR="00BF0BFB" w:rsidRPr="00BF0BFB" w:rsidRDefault="00BF0BFB" w:rsidP="00BF0BFB">
            <w:pPr>
              <w:widowControl/>
              <w:spacing w:beforeLines="0" w:before="0" w:afterLines="0" w:after="0" w:line="240" w:lineRule="auto"/>
              <w:jc w:val="center"/>
              <w:rPr>
                <w:sz w:val="18"/>
                <w:szCs w:val="18"/>
                <w:lang w:bidi="ar-SA"/>
              </w:rPr>
            </w:pPr>
            <w:proofErr w:type="spellStart"/>
            <w:r w:rsidRPr="00BF0BFB">
              <w:rPr>
                <w:sz w:val="18"/>
                <w:szCs w:val="18"/>
                <w:lang w:bidi="ar-SA"/>
              </w:rPr>
              <w:t>MCD14DL</w:t>
            </w:r>
            <w:proofErr w:type="spellEnd"/>
          </w:p>
        </w:tc>
        <w:tc>
          <w:tcPr>
            <w:tcW w:w="0" w:type="auto"/>
            <w:tcBorders>
              <w:top w:val="single" w:sz="4" w:space="0" w:color="auto"/>
              <w:bottom w:val="single" w:sz="4" w:space="0" w:color="auto"/>
            </w:tcBorders>
            <w:vAlign w:val="center"/>
          </w:tcPr>
          <w:p w14:paraId="19398D12"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2003-202</w:t>
            </w:r>
            <w:r w:rsidRPr="00BF0BFB">
              <w:rPr>
                <w:rFonts w:hint="eastAsia"/>
                <w:sz w:val="18"/>
                <w:szCs w:val="18"/>
                <w:lang w:bidi="ar-SA"/>
              </w:rPr>
              <w:t>3</w:t>
            </w:r>
          </w:p>
        </w:tc>
        <w:tc>
          <w:tcPr>
            <w:tcW w:w="1569" w:type="dxa"/>
            <w:tcBorders>
              <w:top w:val="single" w:sz="4" w:space="0" w:color="auto"/>
              <w:bottom w:val="single" w:sz="4" w:space="0" w:color="auto"/>
            </w:tcBorders>
            <w:vAlign w:val="center"/>
          </w:tcPr>
          <w:p w14:paraId="4FE5A48F"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 xml:space="preserve">1 </w:t>
            </w:r>
            <w:r w:rsidRPr="00BF0BFB">
              <w:rPr>
                <w:rFonts w:hint="eastAsia"/>
                <w:sz w:val="18"/>
                <w:szCs w:val="18"/>
                <w:lang w:bidi="ar-SA"/>
              </w:rPr>
              <w:t>k</w:t>
            </w:r>
            <w:r w:rsidRPr="00BF0BFB">
              <w:rPr>
                <w:sz w:val="18"/>
                <w:szCs w:val="18"/>
                <w:lang w:bidi="ar-SA"/>
              </w:rPr>
              <w:t>m</w:t>
            </w:r>
            <w:r w:rsidRPr="00BF0BFB">
              <w:rPr>
                <w:rFonts w:hint="eastAsia"/>
                <w:sz w:val="18"/>
                <w:szCs w:val="18"/>
                <w:lang w:bidi="ar-SA"/>
              </w:rPr>
              <w:t xml:space="preserve"> </w:t>
            </w:r>
            <w:r w:rsidRPr="00BF0BFB">
              <w:rPr>
                <w:rFonts w:hint="eastAsia"/>
                <w:sz w:val="18"/>
                <w:szCs w:val="18"/>
                <w:lang w:bidi="ar-SA"/>
              </w:rPr>
              <w:t>×</w:t>
            </w:r>
            <w:r w:rsidRPr="00BF0BFB">
              <w:rPr>
                <w:rFonts w:hint="eastAsia"/>
                <w:sz w:val="18"/>
                <w:szCs w:val="18"/>
                <w:lang w:bidi="ar-SA"/>
              </w:rPr>
              <w:t xml:space="preserve"> </w:t>
            </w:r>
            <w:r w:rsidRPr="00BF0BFB">
              <w:rPr>
                <w:sz w:val="18"/>
                <w:szCs w:val="18"/>
                <w:lang w:bidi="ar-SA"/>
              </w:rPr>
              <w:t xml:space="preserve">1 </w:t>
            </w:r>
            <w:r w:rsidRPr="00BF0BFB">
              <w:rPr>
                <w:rFonts w:hint="eastAsia"/>
                <w:sz w:val="18"/>
                <w:szCs w:val="18"/>
                <w:lang w:bidi="ar-SA"/>
              </w:rPr>
              <w:t>k</w:t>
            </w:r>
            <w:r w:rsidRPr="00BF0BFB">
              <w:rPr>
                <w:sz w:val="18"/>
                <w:szCs w:val="18"/>
                <w:lang w:bidi="ar-SA"/>
              </w:rPr>
              <w:t>m</w:t>
            </w:r>
          </w:p>
        </w:tc>
        <w:tc>
          <w:tcPr>
            <w:tcW w:w="1417" w:type="dxa"/>
            <w:tcBorders>
              <w:top w:val="single" w:sz="4" w:space="0" w:color="auto"/>
              <w:bottom w:val="single" w:sz="4" w:space="0" w:color="auto"/>
            </w:tcBorders>
            <w:vAlign w:val="center"/>
          </w:tcPr>
          <w:p w14:paraId="37E6E48E"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daily</w:t>
            </w:r>
          </w:p>
        </w:tc>
        <w:tc>
          <w:tcPr>
            <w:tcW w:w="1701" w:type="dxa"/>
            <w:tcBorders>
              <w:top w:val="single" w:sz="4" w:space="0" w:color="auto"/>
              <w:bottom w:val="single" w:sz="4" w:space="0" w:color="auto"/>
            </w:tcBorders>
            <w:vAlign w:val="center"/>
          </w:tcPr>
          <w:p w14:paraId="2FDAF6ED"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 xml:space="preserve">(NASA </w:t>
            </w:r>
            <w:proofErr w:type="spellStart"/>
            <w:r w:rsidRPr="00BF0BFB">
              <w:rPr>
                <w:sz w:val="18"/>
                <w:szCs w:val="18"/>
                <w:lang w:bidi="ar-SA"/>
              </w:rPr>
              <w:t>VIIRS</w:t>
            </w:r>
            <w:proofErr w:type="spellEnd"/>
            <w:r w:rsidRPr="00BF0BFB">
              <w:rPr>
                <w:sz w:val="18"/>
                <w:szCs w:val="18"/>
                <w:lang w:bidi="ar-SA"/>
              </w:rPr>
              <w:t xml:space="preserve"> Land Science Team, 2021)</w:t>
            </w:r>
          </w:p>
        </w:tc>
      </w:tr>
      <w:tr w:rsidR="00BF0BFB" w:rsidRPr="00BF0BFB" w14:paraId="3BBCECC4" w14:textId="77777777" w:rsidTr="004A7EDC">
        <w:trPr>
          <w:cantSplit/>
          <w:jc w:val="center"/>
        </w:trPr>
        <w:tc>
          <w:tcPr>
            <w:tcW w:w="0" w:type="auto"/>
            <w:vMerge/>
            <w:tcBorders>
              <w:top w:val="nil"/>
              <w:bottom w:val="single" w:sz="4" w:space="0" w:color="auto"/>
            </w:tcBorders>
            <w:vAlign w:val="center"/>
          </w:tcPr>
          <w:p w14:paraId="6AC3FE44" w14:textId="77777777" w:rsidR="00BF0BFB" w:rsidRPr="00BF0BFB" w:rsidRDefault="00BF0BFB" w:rsidP="00BF0BFB">
            <w:pPr>
              <w:widowControl/>
              <w:spacing w:beforeLines="0" w:before="0" w:afterLines="0" w:after="0" w:line="240" w:lineRule="auto"/>
              <w:jc w:val="center"/>
              <w:rPr>
                <w:sz w:val="18"/>
                <w:szCs w:val="18"/>
                <w:lang w:bidi="ar-SA"/>
              </w:rPr>
            </w:pPr>
          </w:p>
        </w:tc>
        <w:tc>
          <w:tcPr>
            <w:tcW w:w="0" w:type="auto"/>
            <w:tcBorders>
              <w:top w:val="single" w:sz="4" w:space="0" w:color="auto"/>
              <w:bottom w:val="single" w:sz="4" w:space="0" w:color="auto"/>
            </w:tcBorders>
            <w:vAlign w:val="center"/>
          </w:tcPr>
          <w:p w14:paraId="7BFE72DB"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Terra</w:t>
            </w:r>
          </w:p>
          <w:p w14:paraId="6B893AEF" w14:textId="77777777" w:rsidR="00BF0BFB" w:rsidRPr="00BF0BFB" w:rsidRDefault="00BF0BFB" w:rsidP="00BF0BFB">
            <w:pPr>
              <w:widowControl/>
              <w:spacing w:beforeLines="0" w:before="0" w:afterLines="0" w:after="0" w:line="240" w:lineRule="auto"/>
              <w:jc w:val="center"/>
              <w:rPr>
                <w:sz w:val="18"/>
                <w:szCs w:val="18"/>
                <w:lang w:bidi="ar-SA"/>
              </w:rPr>
            </w:pPr>
            <w:proofErr w:type="spellStart"/>
            <w:r w:rsidRPr="00BF0BFB">
              <w:rPr>
                <w:sz w:val="18"/>
                <w:szCs w:val="18"/>
                <w:lang w:bidi="ar-SA"/>
              </w:rPr>
              <w:t>MCD14DL</w:t>
            </w:r>
            <w:proofErr w:type="spellEnd"/>
          </w:p>
        </w:tc>
        <w:tc>
          <w:tcPr>
            <w:tcW w:w="0" w:type="auto"/>
            <w:tcBorders>
              <w:top w:val="single" w:sz="4" w:space="0" w:color="auto"/>
              <w:bottom w:val="single" w:sz="4" w:space="0" w:color="auto"/>
            </w:tcBorders>
            <w:vAlign w:val="center"/>
          </w:tcPr>
          <w:p w14:paraId="0AA6DAF0"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2003-202</w:t>
            </w:r>
            <w:r w:rsidRPr="00BF0BFB">
              <w:rPr>
                <w:rFonts w:hint="eastAsia"/>
                <w:sz w:val="18"/>
                <w:szCs w:val="18"/>
                <w:lang w:bidi="ar-SA"/>
              </w:rPr>
              <w:t>3</w:t>
            </w:r>
          </w:p>
        </w:tc>
        <w:tc>
          <w:tcPr>
            <w:tcW w:w="1569" w:type="dxa"/>
            <w:tcBorders>
              <w:top w:val="single" w:sz="4" w:space="0" w:color="auto"/>
              <w:bottom w:val="single" w:sz="4" w:space="0" w:color="auto"/>
            </w:tcBorders>
            <w:vAlign w:val="center"/>
          </w:tcPr>
          <w:p w14:paraId="3E29E342"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 xml:space="preserve">1 </w:t>
            </w:r>
            <w:r w:rsidRPr="00BF0BFB">
              <w:rPr>
                <w:rFonts w:hint="eastAsia"/>
                <w:sz w:val="18"/>
                <w:szCs w:val="18"/>
                <w:lang w:bidi="ar-SA"/>
              </w:rPr>
              <w:t>k</w:t>
            </w:r>
            <w:r w:rsidRPr="00BF0BFB">
              <w:rPr>
                <w:sz w:val="18"/>
                <w:szCs w:val="18"/>
                <w:lang w:bidi="ar-SA"/>
              </w:rPr>
              <w:t>m</w:t>
            </w:r>
            <w:r w:rsidRPr="00BF0BFB">
              <w:rPr>
                <w:rFonts w:hint="eastAsia"/>
                <w:sz w:val="18"/>
                <w:szCs w:val="18"/>
                <w:lang w:bidi="ar-SA"/>
              </w:rPr>
              <w:t xml:space="preserve"> </w:t>
            </w:r>
            <w:r w:rsidRPr="00BF0BFB">
              <w:rPr>
                <w:rFonts w:hint="eastAsia"/>
                <w:sz w:val="18"/>
                <w:szCs w:val="18"/>
                <w:lang w:bidi="ar-SA"/>
              </w:rPr>
              <w:t>×</w:t>
            </w:r>
            <w:r w:rsidRPr="00BF0BFB">
              <w:rPr>
                <w:rFonts w:hint="eastAsia"/>
                <w:sz w:val="18"/>
                <w:szCs w:val="18"/>
                <w:lang w:bidi="ar-SA"/>
              </w:rPr>
              <w:t xml:space="preserve"> </w:t>
            </w:r>
            <w:r w:rsidRPr="00BF0BFB">
              <w:rPr>
                <w:sz w:val="18"/>
                <w:szCs w:val="18"/>
                <w:lang w:bidi="ar-SA"/>
              </w:rPr>
              <w:t xml:space="preserve">1 </w:t>
            </w:r>
            <w:r w:rsidRPr="00BF0BFB">
              <w:rPr>
                <w:rFonts w:hint="eastAsia"/>
                <w:sz w:val="18"/>
                <w:szCs w:val="18"/>
                <w:lang w:bidi="ar-SA"/>
              </w:rPr>
              <w:t>k</w:t>
            </w:r>
            <w:r w:rsidRPr="00BF0BFB">
              <w:rPr>
                <w:sz w:val="18"/>
                <w:szCs w:val="18"/>
                <w:lang w:bidi="ar-SA"/>
              </w:rPr>
              <w:t>m</w:t>
            </w:r>
          </w:p>
        </w:tc>
        <w:tc>
          <w:tcPr>
            <w:tcW w:w="1417" w:type="dxa"/>
            <w:tcBorders>
              <w:top w:val="single" w:sz="4" w:space="0" w:color="auto"/>
              <w:bottom w:val="single" w:sz="4" w:space="0" w:color="auto"/>
            </w:tcBorders>
            <w:vAlign w:val="center"/>
          </w:tcPr>
          <w:p w14:paraId="68002C0C"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daily</w:t>
            </w:r>
          </w:p>
        </w:tc>
        <w:tc>
          <w:tcPr>
            <w:tcW w:w="1701" w:type="dxa"/>
            <w:tcBorders>
              <w:top w:val="nil"/>
              <w:bottom w:val="single" w:sz="4" w:space="0" w:color="auto"/>
            </w:tcBorders>
            <w:vAlign w:val="center"/>
          </w:tcPr>
          <w:p w14:paraId="69A6B6BA"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 xml:space="preserve">(NASA </w:t>
            </w:r>
            <w:proofErr w:type="spellStart"/>
            <w:r w:rsidRPr="00BF0BFB">
              <w:rPr>
                <w:sz w:val="18"/>
                <w:szCs w:val="18"/>
                <w:lang w:bidi="ar-SA"/>
              </w:rPr>
              <w:t>VIIRS</w:t>
            </w:r>
            <w:proofErr w:type="spellEnd"/>
            <w:r w:rsidRPr="00BF0BFB">
              <w:rPr>
                <w:sz w:val="18"/>
                <w:szCs w:val="18"/>
                <w:lang w:bidi="ar-SA"/>
              </w:rPr>
              <w:t xml:space="preserve"> Land Science Team, 2021)</w:t>
            </w:r>
          </w:p>
        </w:tc>
      </w:tr>
      <w:tr w:rsidR="00BF0BFB" w:rsidRPr="00BF0BFB" w14:paraId="1CDAC31B" w14:textId="77777777" w:rsidTr="004A7EDC">
        <w:trPr>
          <w:cantSplit/>
          <w:jc w:val="center"/>
        </w:trPr>
        <w:tc>
          <w:tcPr>
            <w:tcW w:w="0" w:type="auto"/>
            <w:vMerge w:val="restart"/>
            <w:tcBorders>
              <w:top w:val="nil"/>
            </w:tcBorders>
            <w:vAlign w:val="center"/>
          </w:tcPr>
          <w:p w14:paraId="59D3E3F5"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Burning Efficiency (BE) &amp; Emission Factor (EF) Data</w:t>
            </w:r>
          </w:p>
        </w:tc>
        <w:tc>
          <w:tcPr>
            <w:tcW w:w="0" w:type="auto"/>
            <w:tcBorders>
              <w:top w:val="single" w:sz="4" w:space="0" w:color="auto"/>
              <w:bottom w:val="single" w:sz="4" w:space="0" w:color="auto"/>
            </w:tcBorders>
            <w:vAlign w:val="center"/>
          </w:tcPr>
          <w:p w14:paraId="30DD1628"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 xml:space="preserve">EF Classification Source Data </w:t>
            </w:r>
            <w:proofErr w:type="spellStart"/>
            <w:r w:rsidRPr="00BF0BFB">
              <w:rPr>
                <w:sz w:val="18"/>
                <w:szCs w:val="18"/>
                <w:lang w:bidi="ar-SA"/>
              </w:rPr>
              <w:t>GFED</w:t>
            </w:r>
            <w:proofErr w:type="spellEnd"/>
          </w:p>
        </w:tc>
        <w:tc>
          <w:tcPr>
            <w:tcW w:w="0" w:type="auto"/>
            <w:tcBorders>
              <w:top w:val="single" w:sz="4" w:space="0" w:color="auto"/>
              <w:bottom w:val="single" w:sz="4" w:space="0" w:color="auto"/>
            </w:tcBorders>
            <w:vAlign w:val="center"/>
          </w:tcPr>
          <w:p w14:paraId="2CA7C271"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
        </w:tc>
        <w:tc>
          <w:tcPr>
            <w:tcW w:w="1569" w:type="dxa"/>
            <w:tcBorders>
              <w:top w:val="single" w:sz="4" w:space="0" w:color="auto"/>
              <w:bottom w:val="single" w:sz="4" w:space="0" w:color="auto"/>
            </w:tcBorders>
            <w:vAlign w:val="center"/>
          </w:tcPr>
          <w:p w14:paraId="3ADB2E96"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0.25°</w:t>
            </w:r>
            <w:r w:rsidRPr="00BF0BFB">
              <w:rPr>
                <w:rFonts w:hint="eastAsia"/>
                <w:sz w:val="18"/>
                <w:szCs w:val="18"/>
                <w:lang w:bidi="ar-SA"/>
              </w:rPr>
              <w:t xml:space="preserve"> </w:t>
            </w:r>
            <w:r w:rsidRPr="00BF0BFB">
              <w:rPr>
                <w:rFonts w:hint="eastAsia"/>
                <w:sz w:val="18"/>
                <w:szCs w:val="18"/>
                <w:lang w:bidi="ar-SA"/>
              </w:rPr>
              <w:t>×</w:t>
            </w:r>
            <w:r w:rsidRPr="00BF0BFB">
              <w:rPr>
                <w:rFonts w:hint="eastAsia"/>
                <w:sz w:val="18"/>
                <w:szCs w:val="18"/>
                <w:lang w:bidi="ar-SA"/>
              </w:rPr>
              <w:t xml:space="preserve"> </w:t>
            </w:r>
            <w:r w:rsidRPr="00BF0BFB">
              <w:rPr>
                <w:sz w:val="18"/>
                <w:szCs w:val="18"/>
                <w:lang w:bidi="ar-SA"/>
              </w:rPr>
              <w:t>0.25°</w:t>
            </w:r>
          </w:p>
        </w:tc>
        <w:tc>
          <w:tcPr>
            <w:tcW w:w="1417" w:type="dxa"/>
            <w:tcBorders>
              <w:top w:val="single" w:sz="4" w:space="0" w:color="auto"/>
              <w:bottom w:val="single" w:sz="4" w:space="0" w:color="auto"/>
            </w:tcBorders>
            <w:vAlign w:val="center"/>
          </w:tcPr>
          <w:p w14:paraId="0596F98D"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
        </w:tc>
        <w:tc>
          <w:tcPr>
            <w:tcW w:w="1701" w:type="dxa"/>
            <w:tcBorders>
              <w:top w:val="single" w:sz="4" w:space="0" w:color="auto"/>
              <w:bottom w:val="single" w:sz="4" w:space="0" w:color="auto"/>
            </w:tcBorders>
            <w:vAlign w:val="center"/>
          </w:tcPr>
          <w:p w14:paraId="0BF04D86"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(van der Werf et al., 2006)</w:t>
            </w:r>
          </w:p>
        </w:tc>
      </w:tr>
      <w:tr w:rsidR="00BF0BFB" w:rsidRPr="00BF0BFB" w14:paraId="5514EDB0" w14:textId="77777777" w:rsidTr="004A7EDC">
        <w:trPr>
          <w:cantSplit/>
          <w:jc w:val="center"/>
        </w:trPr>
        <w:tc>
          <w:tcPr>
            <w:tcW w:w="0" w:type="auto"/>
            <w:vMerge/>
            <w:vAlign w:val="center"/>
          </w:tcPr>
          <w:p w14:paraId="0F7BA9D8" w14:textId="77777777" w:rsidR="00BF0BFB" w:rsidRPr="00BF0BFB" w:rsidRDefault="00BF0BFB" w:rsidP="00BF0BFB">
            <w:pPr>
              <w:widowControl/>
              <w:spacing w:beforeLines="0" w:before="0" w:afterLines="0" w:after="0" w:line="240" w:lineRule="auto"/>
              <w:jc w:val="center"/>
              <w:rPr>
                <w:sz w:val="18"/>
                <w:szCs w:val="18"/>
                <w:lang w:bidi="ar-SA"/>
              </w:rPr>
            </w:pPr>
          </w:p>
        </w:tc>
        <w:tc>
          <w:tcPr>
            <w:tcW w:w="0" w:type="auto"/>
            <w:tcBorders>
              <w:top w:val="single" w:sz="4" w:space="0" w:color="auto"/>
              <w:bottom w:val="single" w:sz="4" w:space="0" w:color="auto"/>
            </w:tcBorders>
            <w:vAlign w:val="center"/>
          </w:tcPr>
          <w:p w14:paraId="162F7E71"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EF Coefficients</w:t>
            </w:r>
          </w:p>
        </w:tc>
        <w:tc>
          <w:tcPr>
            <w:tcW w:w="0" w:type="auto"/>
            <w:tcBorders>
              <w:top w:val="single" w:sz="4" w:space="0" w:color="auto"/>
              <w:bottom w:val="single" w:sz="4" w:space="0" w:color="auto"/>
            </w:tcBorders>
            <w:vAlign w:val="center"/>
          </w:tcPr>
          <w:p w14:paraId="371266A7"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
        </w:tc>
        <w:tc>
          <w:tcPr>
            <w:tcW w:w="1569" w:type="dxa"/>
            <w:tcBorders>
              <w:top w:val="single" w:sz="4" w:space="0" w:color="auto"/>
              <w:bottom w:val="single" w:sz="4" w:space="0" w:color="auto"/>
            </w:tcBorders>
            <w:vAlign w:val="center"/>
          </w:tcPr>
          <w:p w14:paraId="57F8F7F2"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
        </w:tc>
        <w:tc>
          <w:tcPr>
            <w:tcW w:w="1417" w:type="dxa"/>
            <w:tcBorders>
              <w:top w:val="single" w:sz="4" w:space="0" w:color="auto"/>
              <w:bottom w:val="single" w:sz="4" w:space="0" w:color="auto"/>
            </w:tcBorders>
            <w:vAlign w:val="center"/>
          </w:tcPr>
          <w:p w14:paraId="054CF29B"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
        </w:tc>
        <w:tc>
          <w:tcPr>
            <w:tcW w:w="1701" w:type="dxa"/>
            <w:tcBorders>
              <w:top w:val="single" w:sz="4" w:space="0" w:color="auto"/>
              <w:bottom w:val="single" w:sz="4" w:space="0" w:color="auto"/>
            </w:tcBorders>
            <w:vAlign w:val="center"/>
          </w:tcPr>
          <w:p w14:paraId="7403E92A"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(van der Werf et al., 2017)</w:t>
            </w:r>
          </w:p>
        </w:tc>
      </w:tr>
      <w:tr w:rsidR="00BF0BFB" w:rsidRPr="00BF0BFB" w14:paraId="08C4B330" w14:textId="77777777" w:rsidTr="004A7EDC">
        <w:trPr>
          <w:cantSplit/>
          <w:jc w:val="center"/>
        </w:trPr>
        <w:tc>
          <w:tcPr>
            <w:tcW w:w="0" w:type="auto"/>
            <w:vMerge/>
            <w:tcBorders>
              <w:bottom w:val="single" w:sz="4" w:space="0" w:color="auto"/>
            </w:tcBorders>
            <w:vAlign w:val="center"/>
          </w:tcPr>
          <w:p w14:paraId="1EEF557A" w14:textId="77777777" w:rsidR="00BF0BFB" w:rsidRPr="00BF0BFB" w:rsidRDefault="00BF0BFB" w:rsidP="00BF0BFB">
            <w:pPr>
              <w:widowControl/>
              <w:spacing w:beforeLines="0" w:before="0" w:afterLines="0" w:after="0" w:line="240" w:lineRule="auto"/>
              <w:jc w:val="center"/>
              <w:rPr>
                <w:sz w:val="18"/>
                <w:szCs w:val="18"/>
                <w:lang w:bidi="ar-SA"/>
              </w:rPr>
            </w:pPr>
          </w:p>
        </w:tc>
        <w:tc>
          <w:tcPr>
            <w:tcW w:w="0" w:type="auto"/>
            <w:tcBorders>
              <w:top w:val="single" w:sz="4" w:space="0" w:color="auto"/>
              <w:bottom w:val="single" w:sz="4" w:space="0" w:color="auto"/>
            </w:tcBorders>
            <w:vAlign w:val="center"/>
          </w:tcPr>
          <w:p w14:paraId="5EAEE94F"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BE Coefficients</w:t>
            </w:r>
          </w:p>
        </w:tc>
        <w:tc>
          <w:tcPr>
            <w:tcW w:w="0" w:type="auto"/>
            <w:tcBorders>
              <w:top w:val="single" w:sz="4" w:space="0" w:color="auto"/>
              <w:bottom w:val="single" w:sz="4" w:space="0" w:color="auto"/>
            </w:tcBorders>
            <w:vAlign w:val="center"/>
          </w:tcPr>
          <w:p w14:paraId="77395A2E"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
        </w:tc>
        <w:tc>
          <w:tcPr>
            <w:tcW w:w="1569" w:type="dxa"/>
            <w:tcBorders>
              <w:top w:val="single" w:sz="4" w:space="0" w:color="auto"/>
              <w:bottom w:val="single" w:sz="4" w:space="0" w:color="auto"/>
            </w:tcBorders>
            <w:vAlign w:val="center"/>
          </w:tcPr>
          <w:p w14:paraId="6E4598C9"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
        </w:tc>
        <w:tc>
          <w:tcPr>
            <w:tcW w:w="1417" w:type="dxa"/>
            <w:tcBorders>
              <w:top w:val="single" w:sz="4" w:space="0" w:color="auto"/>
              <w:bottom w:val="single" w:sz="4" w:space="0" w:color="auto"/>
            </w:tcBorders>
            <w:vAlign w:val="center"/>
          </w:tcPr>
          <w:p w14:paraId="7F033D71"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
        </w:tc>
        <w:tc>
          <w:tcPr>
            <w:tcW w:w="1701" w:type="dxa"/>
            <w:tcBorders>
              <w:top w:val="single" w:sz="4" w:space="0" w:color="auto"/>
              <w:bottom w:val="single" w:sz="4" w:space="0" w:color="auto"/>
            </w:tcBorders>
            <w:vAlign w:val="center"/>
          </w:tcPr>
          <w:p w14:paraId="3A5923F1"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(Shi et al., 2015)</w:t>
            </w:r>
          </w:p>
        </w:tc>
      </w:tr>
      <w:tr w:rsidR="00BF0BFB" w:rsidRPr="00BF0BFB" w14:paraId="447249ED" w14:textId="77777777" w:rsidTr="004A7EDC">
        <w:trPr>
          <w:cantSplit/>
          <w:jc w:val="center"/>
        </w:trPr>
        <w:tc>
          <w:tcPr>
            <w:tcW w:w="0" w:type="auto"/>
            <w:vMerge w:val="restart"/>
            <w:tcBorders>
              <w:top w:val="single" w:sz="4" w:space="0" w:color="auto"/>
              <w:bottom w:val="nil"/>
            </w:tcBorders>
            <w:vAlign w:val="center"/>
          </w:tcPr>
          <w:p w14:paraId="7D1AFBB8" w14:textId="77777777" w:rsidR="00BF0BFB" w:rsidRPr="00BF0BFB" w:rsidRDefault="00BF0BFB" w:rsidP="00BF0BFB">
            <w:pPr>
              <w:widowControl/>
              <w:spacing w:beforeLines="0" w:before="0" w:afterLines="0" w:after="0" w:line="240" w:lineRule="auto"/>
              <w:jc w:val="center"/>
              <w:rPr>
                <w:sz w:val="18"/>
                <w:szCs w:val="18"/>
                <w:lang w:bidi="ar-SA"/>
              </w:rPr>
            </w:pPr>
            <w:proofErr w:type="spellStart"/>
            <w:r w:rsidRPr="00BF0BFB">
              <w:rPr>
                <w:sz w:val="18"/>
                <w:szCs w:val="18"/>
                <w:lang w:bidi="ar-SA"/>
              </w:rPr>
              <w:t>AGB</w:t>
            </w:r>
            <w:proofErr w:type="spellEnd"/>
            <w:r w:rsidRPr="00BF0BFB">
              <w:rPr>
                <w:sz w:val="18"/>
                <w:szCs w:val="18"/>
                <w:lang w:bidi="ar-SA"/>
              </w:rPr>
              <w:t xml:space="preserve"> Data</w:t>
            </w:r>
          </w:p>
        </w:tc>
        <w:tc>
          <w:tcPr>
            <w:tcW w:w="0" w:type="auto"/>
            <w:tcBorders>
              <w:top w:val="single" w:sz="4" w:space="0" w:color="auto"/>
              <w:bottom w:val="single" w:sz="4" w:space="0" w:color="auto"/>
            </w:tcBorders>
            <w:vAlign w:val="center"/>
          </w:tcPr>
          <w:p w14:paraId="0F37C665" w14:textId="77777777" w:rsidR="00BF0BFB" w:rsidRPr="00BF0BFB" w:rsidRDefault="00BF0BFB" w:rsidP="00BF0BFB">
            <w:pPr>
              <w:widowControl/>
              <w:spacing w:beforeLines="0" w:before="0" w:afterLines="0" w:after="0" w:line="240" w:lineRule="auto"/>
              <w:jc w:val="center"/>
              <w:rPr>
                <w:sz w:val="18"/>
                <w:szCs w:val="18"/>
                <w:lang w:bidi="ar-SA"/>
              </w:rPr>
            </w:pPr>
            <w:bookmarkStart w:id="10" w:name="_Hlk196897985"/>
            <w:proofErr w:type="spellStart"/>
            <w:r w:rsidRPr="00BF0BFB">
              <w:rPr>
                <w:sz w:val="18"/>
                <w:szCs w:val="18"/>
                <w:lang w:bidi="ar-SA"/>
              </w:rPr>
              <w:t>GlobBiomass</w:t>
            </w:r>
            <w:bookmarkEnd w:id="10"/>
            <w:proofErr w:type="spellEnd"/>
          </w:p>
        </w:tc>
        <w:tc>
          <w:tcPr>
            <w:tcW w:w="0" w:type="auto"/>
            <w:tcBorders>
              <w:top w:val="single" w:sz="4" w:space="0" w:color="auto"/>
              <w:bottom w:val="single" w:sz="4" w:space="0" w:color="auto"/>
            </w:tcBorders>
            <w:vAlign w:val="center"/>
          </w:tcPr>
          <w:p w14:paraId="69C2D09A"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2010</w:t>
            </w:r>
          </w:p>
        </w:tc>
        <w:tc>
          <w:tcPr>
            <w:tcW w:w="1569" w:type="dxa"/>
            <w:tcBorders>
              <w:top w:val="single" w:sz="4" w:space="0" w:color="auto"/>
              <w:bottom w:val="single" w:sz="4" w:space="0" w:color="auto"/>
            </w:tcBorders>
            <w:vAlign w:val="center"/>
          </w:tcPr>
          <w:p w14:paraId="71C9A1D2"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25 m</w:t>
            </w:r>
            <w:r w:rsidRPr="00BF0BFB">
              <w:rPr>
                <w:rFonts w:hint="eastAsia"/>
                <w:sz w:val="18"/>
                <w:szCs w:val="18"/>
                <w:lang w:bidi="ar-SA"/>
              </w:rPr>
              <w:t xml:space="preserve"> </w:t>
            </w:r>
            <w:r w:rsidRPr="00BF0BFB">
              <w:rPr>
                <w:rFonts w:hint="eastAsia"/>
                <w:sz w:val="18"/>
                <w:szCs w:val="18"/>
                <w:lang w:bidi="ar-SA"/>
              </w:rPr>
              <w:t>×</w:t>
            </w:r>
            <w:r w:rsidRPr="00BF0BFB">
              <w:rPr>
                <w:rFonts w:hint="eastAsia"/>
                <w:sz w:val="18"/>
                <w:szCs w:val="18"/>
                <w:lang w:bidi="ar-SA"/>
              </w:rPr>
              <w:t xml:space="preserve"> </w:t>
            </w:r>
            <w:r w:rsidRPr="00BF0BFB">
              <w:rPr>
                <w:sz w:val="18"/>
                <w:szCs w:val="18"/>
                <w:lang w:bidi="ar-SA"/>
              </w:rPr>
              <w:t>25 m</w:t>
            </w:r>
          </w:p>
        </w:tc>
        <w:tc>
          <w:tcPr>
            <w:tcW w:w="1417" w:type="dxa"/>
            <w:tcBorders>
              <w:top w:val="single" w:sz="4" w:space="0" w:color="auto"/>
              <w:bottom w:val="single" w:sz="4" w:space="0" w:color="auto"/>
            </w:tcBorders>
            <w:vAlign w:val="center"/>
          </w:tcPr>
          <w:p w14:paraId="5F51FB7C"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
        </w:tc>
        <w:tc>
          <w:tcPr>
            <w:tcW w:w="1701" w:type="dxa"/>
            <w:tcBorders>
              <w:top w:val="single" w:sz="4" w:space="0" w:color="auto"/>
              <w:bottom w:val="single" w:sz="4" w:space="0" w:color="auto"/>
            </w:tcBorders>
            <w:vAlign w:val="center"/>
          </w:tcPr>
          <w:p w14:paraId="6729AA2C"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(Santoro, 2018)</w:t>
            </w:r>
          </w:p>
        </w:tc>
      </w:tr>
      <w:tr w:rsidR="00BF0BFB" w:rsidRPr="00BF0BFB" w14:paraId="68DCCF07" w14:textId="77777777" w:rsidTr="004A7EDC">
        <w:trPr>
          <w:cantSplit/>
          <w:jc w:val="center"/>
        </w:trPr>
        <w:tc>
          <w:tcPr>
            <w:tcW w:w="0" w:type="auto"/>
            <w:vMerge/>
            <w:tcBorders>
              <w:top w:val="nil"/>
              <w:bottom w:val="single" w:sz="4" w:space="0" w:color="auto"/>
            </w:tcBorders>
            <w:vAlign w:val="center"/>
          </w:tcPr>
          <w:p w14:paraId="6F8AF12C" w14:textId="77777777" w:rsidR="00BF0BFB" w:rsidRPr="00BF0BFB" w:rsidRDefault="00BF0BFB" w:rsidP="00BF0BFB">
            <w:pPr>
              <w:widowControl/>
              <w:spacing w:beforeLines="0" w:before="0" w:afterLines="0" w:after="0" w:line="240" w:lineRule="auto"/>
              <w:jc w:val="center"/>
              <w:rPr>
                <w:sz w:val="18"/>
                <w:szCs w:val="18"/>
                <w:lang w:bidi="ar-SA"/>
              </w:rPr>
            </w:pPr>
          </w:p>
        </w:tc>
        <w:tc>
          <w:tcPr>
            <w:tcW w:w="0" w:type="auto"/>
            <w:tcBorders>
              <w:top w:val="single" w:sz="4" w:space="0" w:color="auto"/>
              <w:bottom w:val="single" w:sz="4" w:space="0" w:color="auto"/>
            </w:tcBorders>
            <w:vAlign w:val="center"/>
          </w:tcPr>
          <w:p w14:paraId="40530A4A" w14:textId="77777777" w:rsidR="00BF0BFB" w:rsidRPr="00BF0BFB" w:rsidRDefault="00BF0BFB" w:rsidP="00BF0BFB">
            <w:pPr>
              <w:widowControl/>
              <w:spacing w:beforeLines="0" w:before="0" w:afterLines="0" w:after="0" w:line="240" w:lineRule="auto"/>
              <w:jc w:val="center"/>
              <w:rPr>
                <w:sz w:val="18"/>
                <w:szCs w:val="18"/>
                <w:lang w:bidi="ar-SA"/>
              </w:rPr>
            </w:pPr>
            <w:proofErr w:type="spellStart"/>
            <w:r w:rsidRPr="00BF0BFB">
              <w:rPr>
                <w:sz w:val="18"/>
                <w:szCs w:val="18"/>
                <w:lang w:bidi="ar-SA"/>
              </w:rPr>
              <w:t>Biomass_cci</w:t>
            </w:r>
            <w:proofErr w:type="spellEnd"/>
          </w:p>
        </w:tc>
        <w:tc>
          <w:tcPr>
            <w:tcW w:w="0" w:type="auto"/>
            <w:tcBorders>
              <w:top w:val="single" w:sz="4" w:space="0" w:color="auto"/>
              <w:bottom w:val="single" w:sz="4" w:space="0" w:color="auto"/>
            </w:tcBorders>
            <w:vAlign w:val="center"/>
          </w:tcPr>
          <w:p w14:paraId="4CBE8289"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2010/2015-2021</w:t>
            </w:r>
          </w:p>
        </w:tc>
        <w:tc>
          <w:tcPr>
            <w:tcW w:w="1569" w:type="dxa"/>
            <w:tcBorders>
              <w:top w:val="single" w:sz="4" w:space="0" w:color="auto"/>
              <w:bottom w:val="single" w:sz="4" w:space="0" w:color="auto"/>
            </w:tcBorders>
            <w:vAlign w:val="center"/>
          </w:tcPr>
          <w:p w14:paraId="43A2B0D0"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100 m</w:t>
            </w:r>
            <w:r w:rsidRPr="00BF0BFB">
              <w:rPr>
                <w:rFonts w:hint="eastAsia"/>
                <w:sz w:val="18"/>
                <w:szCs w:val="18"/>
                <w:lang w:bidi="ar-SA"/>
              </w:rPr>
              <w:t xml:space="preserve"> </w:t>
            </w:r>
            <w:r w:rsidRPr="00BF0BFB">
              <w:rPr>
                <w:rFonts w:hint="eastAsia"/>
                <w:sz w:val="18"/>
                <w:szCs w:val="18"/>
                <w:lang w:bidi="ar-SA"/>
              </w:rPr>
              <w:t>×</w:t>
            </w:r>
            <w:r w:rsidRPr="00BF0BFB">
              <w:rPr>
                <w:rFonts w:hint="eastAsia"/>
                <w:sz w:val="18"/>
                <w:szCs w:val="18"/>
                <w:lang w:bidi="ar-SA"/>
              </w:rPr>
              <w:t xml:space="preserve"> </w:t>
            </w:r>
            <w:r w:rsidRPr="00BF0BFB">
              <w:rPr>
                <w:sz w:val="18"/>
                <w:szCs w:val="18"/>
                <w:lang w:bidi="ar-SA"/>
              </w:rPr>
              <w:t>100 m</w:t>
            </w:r>
          </w:p>
        </w:tc>
        <w:tc>
          <w:tcPr>
            <w:tcW w:w="1417" w:type="dxa"/>
            <w:tcBorders>
              <w:top w:val="single" w:sz="4" w:space="0" w:color="auto"/>
              <w:bottom w:val="single" w:sz="4" w:space="0" w:color="auto"/>
            </w:tcBorders>
            <w:vAlign w:val="center"/>
          </w:tcPr>
          <w:p w14:paraId="5365FCBE"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yearly</w:t>
            </w:r>
          </w:p>
        </w:tc>
        <w:tc>
          <w:tcPr>
            <w:tcW w:w="1701" w:type="dxa"/>
            <w:tcBorders>
              <w:top w:val="single" w:sz="4" w:space="0" w:color="auto"/>
              <w:bottom w:val="single" w:sz="4" w:space="0" w:color="auto"/>
            </w:tcBorders>
            <w:vAlign w:val="center"/>
          </w:tcPr>
          <w:p w14:paraId="0A9DF56B"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(Santoro and Cartus, 2024)</w:t>
            </w:r>
          </w:p>
        </w:tc>
      </w:tr>
      <w:tr w:rsidR="00BF0BFB" w:rsidRPr="00BF0BFB" w14:paraId="390E6DEE" w14:textId="77777777" w:rsidTr="004A7EDC">
        <w:trPr>
          <w:cantSplit/>
          <w:jc w:val="center"/>
        </w:trPr>
        <w:tc>
          <w:tcPr>
            <w:tcW w:w="0" w:type="auto"/>
            <w:vMerge w:val="restart"/>
            <w:tcBorders>
              <w:top w:val="single" w:sz="4" w:space="0" w:color="auto"/>
              <w:bottom w:val="nil"/>
            </w:tcBorders>
            <w:vAlign w:val="center"/>
          </w:tcPr>
          <w:p w14:paraId="79FF327B" w14:textId="77777777" w:rsidR="00BF0BFB" w:rsidRPr="00BF0BFB" w:rsidRDefault="00BF0BFB" w:rsidP="00BF0BFB">
            <w:pPr>
              <w:widowControl/>
              <w:spacing w:beforeLines="0" w:before="0" w:afterLines="0" w:after="0" w:line="240" w:lineRule="auto"/>
              <w:jc w:val="center"/>
              <w:rPr>
                <w:sz w:val="18"/>
                <w:szCs w:val="18"/>
                <w:lang w:bidi="ar-SA"/>
              </w:rPr>
            </w:pPr>
            <w:bookmarkStart w:id="11" w:name="_Hlk206077654"/>
            <w:bookmarkStart w:id="12" w:name="_Hlk204264709"/>
            <w:r w:rsidRPr="00BF0BFB">
              <w:rPr>
                <w:sz w:val="18"/>
                <w:szCs w:val="18"/>
                <w:lang w:bidi="ar-SA"/>
              </w:rPr>
              <w:t>Conversion Factor</w:t>
            </w:r>
            <w:bookmarkEnd w:id="11"/>
            <w:r w:rsidRPr="00BF0BFB">
              <w:rPr>
                <w:sz w:val="18"/>
                <w:szCs w:val="18"/>
                <w:lang w:bidi="ar-SA"/>
              </w:rPr>
              <w:t xml:space="preserve"> (CR) Data</w:t>
            </w:r>
            <w:bookmarkEnd w:id="12"/>
          </w:p>
        </w:tc>
        <w:tc>
          <w:tcPr>
            <w:tcW w:w="0" w:type="auto"/>
            <w:tcBorders>
              <w:top w:val="single" w:sz="4" w:space="0" w:color="auto"/>
              <w:bottom w:val="nil"/>
            </w:tcBorders>
            <w:vAlign w:val="center"/>
          </w:tcPr>
          <w:p w14:paraId="4E408AF3"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30-class CR map</w:t>
            </w:r>
          </w:p>
        </w:tc>
        <w:tc>
          <w:tcPr>
            <w:tcW w:w="0" w:type="auto"/>
            <w:tcBorders>
              <w:top w:val="single" w:sz="4" w:space="0" w:color="auto"/>
              <w:bottom w:val="nil"/>
            </w:tcBorders>
            <w:vAlign w:val="center"/>
          </w:tcPr>
          <w:p w14:paraId="1D1F6645"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
        </w:tc>
        <w:tc>
          <w:tcPr>
            <w:tcW w:w="1569" w:type="dxa"/>
            <w:tcBorders>
              <w:top w:val="single" w:sz="4" w:space="0" w:color="auto"/>
              <w:bottom w:val="nil"/>
            </w:tcBorders>
            <w:vAlign w:val="center"/>
          </w:tcPr>
          <w:p w14:paraId="58A31E4F"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0.1°</w:t>
            </w:r>
            <w:r w:rsidRPr="00BF0BFB">
              <w:rPr>
                <w:rFonts w:hint="eastAsia"/>
                <w:sz w:val="18"/>
                <w:szCs w:val="18"/>
                <w:lang w:bidi="ar-SA"/>
              </w:rPr>
              <w:t xml:space="preserve"> </w:t>
            </w:r>
            <w:r w:rsidRPr="00BF0BFB">
              <w:rPr>
                <w:rFonts w:hint="eastAsia"/>
                <w:sz w:val="18"/>
                <w:szCs w:val="18"/>
                <w:lang w:bidi="ar-SA"/>
              </w:rPr>
              <w:t>×</w:t>
            </w:r>
            <w:r w:rsidRPr="00BF0BFB">
              <w:rPr>
                <w:rFonts w:hint="eastAsia"/>
                <w:sz w:val="18"/>
                <w:szCs w:val="18"/>
                <w:lang w:bidi="ar-SA"/>
              </w:rPr>
              <w:t xml:space="preserve"> </w:t>
            </w:r>
            <w:r w:rsidRPr="00BF0BFB">
              <w:rPr>
                <w:sz w:val="18"/>
                <w:szCs w:val="18"/>
                <w:lang w:bidi="ar-SA"/>
              </w:rPr>
              <w:t>0.1°</w:t>
            </w:r>
          </w:p>
        </w:tc>
        <w:tc>
          <w:tcPr>
            <w:tcW w:w="1417" w:type="dxa"/>
            <w:tcBorders>
              <w:top w:val="single" w:sz="4" w:space="0" w:color="auto"/>
              <w:bottom w:val="nil"/>
            </w:tcBorders>
            <w:vAlign w:val="center"/>
          </w:tcPr>
          <w:p w14:paraId="04CEB437"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
        </w:tc>
        <w:tc>
          <w:tcPr>
            <w:tcW w:w="1701" w:type="dxa"/>
            <w:tcBorders>
              <w:top w:val="single" w:sz="4" w:space="0" w:color="auto"/>
              <w:bottom w:val="nil"/>
            </w:tcBorders>
            <w:vAlign w:val="center"/>
          </w:tcPr>
          <w:p w14:paraId="08E44A98"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(Kaiser et al., 2023)</w:t>
            </w:r>
          </w:p>
        </w:tc>
      </w:tr>
      <w:tr w:rsidR="00BF0BFB" w:rsidRPr="00BF0BFB" w14:paraId="4BBB39E4" w14:textId="77777777" w:rsidTr="004A7EDC">
        <w:trPr>
          <w:cantSplit/>
          <w:jc w:val="center"/>
        </w:trPr>
        <w:tc>
          <w:tcPr>
            <w:tcW w:w="0" w:type="auto"/>
            <w:vMerge/>
            <w:tcBorders>
              <w:top w:val="nil"/>
              <w:bottom w:val="single" w:sz="4" w:space="0" w:color="auto"/>
            </w:tcBorders>
            <w:vAlign w:val="center"/>
          </w:tcPr>
          <w:p w14:paraId="799C0C96" w14:textId="77777777" w:rsidR="00BF0BFB" w:rsidRPr="00BF0BFB" w:rsidRDefault="00BF0BFB" w:rsidP="00BF0BFB">
            <w:pPr>
              <w:widowControl/>
              <w:spacing w:beforeLines="0" w:before="0" w:afterLines="0" w:after="0" w:line="240" w:lineRule="auto"/>
              <w:jc w:val="center"/>
              <w:rPr>
                <w:sz w:val="18"/>
                <w:szCs w:val="18"/>
                <w:lang w:bidi="ar-SA"/>
              </w:rPr>
            </w:pPr>
          </w:p>
        </w:tc>
        <w:tc>
          <w:tcPr>
            <w:tcW w:w="0" w:type="auto"/>
            <w:tcBorders>
              <w:top w:val="nil"/>
              <w:bottom w:val="single" w:sz="4" w:space="0" w:color="auto"/>
            </w:tcBorders>
            <w:vAlign w:val="center"/>
          </w:tcPr>
          <w:p w14:paraId="729BE17B" w14:textId="77777777" w:rsidR="00BF0BFB" w:rsidRPr="00BF0BFB" w:rsidRDefault="00BF0BFB" w:rsidP="00BF0BFB">
            <w:pPr>
              <w:widowControl/>
              <w:spacing w:beforeLines="0" w:before="0" w:afterLines="0" w:after="0" w:line="240" w:lineRule="auto"/>
              <w:jc w:val="center"/>
              <w:rPr>
                <w:sz w:val="18"/>
                <w:szCs w:val="18"/>
                <w:lang w:bidi="ar-SA"/>
              </w:rPr>
            </w:pPr>
            <w:bookmarkStart w:id="13" w:name="_Hlk206077643"/>
            <w:r w:rsidRPr="00BF0BFB">
              <w:rPr>
                <w:sz w:val="18"/>
                <w:szCs w:val="18"/>
                <w:lang w:bidi="ar-SA"/>
              </w:rPr>
              <w:t>8-class CR map</w:t>
            </w:r>
            <w:bookmarkEnd w:id="13"/>
          </w:p>
        </w:tc>
        <w:tc>
          <w:tcPr>
            <w:tcW w:w="0" w:type="auto"/>
            <w:tcBorders>
              <w:top w:val="nil"/>
              <w:bottom w:val="single" w:sz="4" w:space="0" w:color="auto"/>
            </w:tcBorders>
            <w:vAlign w:val="center"/>
          </w:tcPr>
          <w:p w14:paraId="612629C9"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
        </w:tc>
        <w:tc>
          <w:tcPr>
            <w:tcW w:w="1569" w:type="dxa"/>
            <w:tcBorders>
              <w:top w:val="nil"/>
              <w:bottom w:val="single" w:sz="4" w:space="0" w:color="auto"/>
            </w:tcBorders>
            <w:vAlign w:val="center"/>
          </w:tcPr>
          <w:p w14:paraId="101DF8D6"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0.1°</w:t>
            </w:r>
            <w:r w:rsidRPr="00BF0BFB">
              <w:rPr>
                <w:rFonts w:hint="eastAsia"/>
                <w:sz w:val="18"/>
                <w:szCs w:val="18"/>
                <w:lang w:bidi="ar-SA"/>
              </w:rPr>
              <w:t xml:space="preserve"> </w:t>
            </w:r>
            <w:r w:rsidRPr="00BF0BFB">
              <w:rPr>
                <w:rFonts w:hint="eastAsia"/>
                <w:sz w:val="18"/>
                <w:szCs w:val="18"/>
                <w:lang w:bidi="ar-SA"/>
              </w:rPr>
              <w:t>×</w:t>
            </w:r>
            <w:r w:rsidRPr="00BF0BFB">
              <w:rPr>
                <w:rFonts w:hint="eastAsia"/>
                <w:sz w:val="18"/>
                <w:szCs w:val="18"/>
                <w:lang w:bidi="ar-SA"/>
              </w:rPr>
              <w:t xml:space="preserve"> </w:t>
            </w:r>
            <w:r w:rsidRPr="00BF0BFB">
              <w:rPr>
                <w:sz w:val="18"/>
                <w:szCs w:val="18"/>
                <w:lang w:bidi="ar-SA"/>
              </w:rPr>
              <w:t>0.1°</w:t>
            </w:r>
          </w:p>
        </w:tc>
        <w:tc>
          <w:tcPr>
            <w:tcW w:w="1417" w:type="dxa"/>
            <w:tcBorders>
              <w:top w:val="nil"/>
              <w:bottom w:val="single" w:sz="4" w:space="0" w:color="auto"/>
            </w:tcBorders>
            <w:vAlign w:val="center"/>
          </w:tcPr>
          <w:p w14:paraId="68DFE409"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
        </w:tc>
        <w:tc>
          <w:tcPr>
            <w:tcW w:w="1701" w:type="dxa"/>
            <w:tcBorders>
              <w:top w:val="nil"/>
              <w:bottom w:val="single" w:sz="4" w:space="0" w:color="auto"/>
            </w:tcBorders>
            <w:vAlign w:val="center"/>
          </w:tcPr>
          <w:p w14:paraId="703C133F"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(Kaiser et al., 2012)</w:t>
            </w:r>
          </w:p>
        </w:tc>
      </w:tr>
      <w:tr w:rsidR="00BF0BFB" w:rsidRPr="00BF0BFB" w14:paraId="2FF1D25E" w14:textId="77777777" w:rsidTr="004A7EDC">
        <w:trPr>
          <w:cantSplit/>
          <w:jc w:val="center"/>
        </w:trPr>
        <w:tc>
          <w:tcPr>
            <w:tcW w:w="0" w:type="auto"/>
            <w:vMerge w:val="restart"/>
            <w:tcBorders>
              <w:top w:val="single" w:sz="4" w:space="0" w:color="auto"/>
            </w:tcBorders>
            <w:vAlign w:val="center"/>
          </w:tcPr>
          <w:p w14:paraId="68A8D025"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Ancillary &amp; Validation Data</w:t>
            </w:r>
          </w:p>
        </w:tc>
        <w:tc>
          <w:tcPr>
            <w:tcW w:w="0" w:type="auto"/>
            <w:tcBorders>
              <w:top w:val="single" w:sz="4" w:space="0" w:color="auto"/>
              <w:bottom w:val="single" w:sz="4" w:space="0" w:color="auto"/>
            </w:tcBorders>
            <w:vAlign w:val="center"/>
          </w:tcPr>
          <w:p w14:paraId="2F45FFFF"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Net Primary Production (NPP)</w:t>
            </w:r>
          </w:p>
          <w:p w14:paraId="2B7AAA56" w14:textId="77777777" w:rsidR="00BF0BFB" w:rsidRPr="00BF0BFB" w:rsidRDefault="00BF0BFB" w:rsidP="00BF0BFB">
            <w:pPr>
              <w:widowControl/>
              <w:spacing w:beforeLines="0" w:before="0" w:afterLines="0" w:after="0" w:line="240" w:lineRule="auto"/>
              <w:jc w:val="center"/>
              <w:rPr>
                <w:sz w:val="18"/>
                <w:szCs w:val="18"/>
                <w:lang w:bidi="ar-SA"/>
              </w:rPr>
            </w:pPr>
            <w:proofErr w:type="spellStart"/>
            <w:r w:rsidRPr="00BF0BFB">
              <w:rPr>
                <w:sz w:val="18"/>
                <w:szCs w:val="18"/>
                <w:lang w:bidi="ar-SA"/>
              </w:rPr>
              <w:t>MYD17A3HGF</w:t>
            </w:r>
            <w:proofErr w:type="spellEnd"/>
            <w:r w:rsidRPr="00BF0BFB">
              <w:rPr>
                <w:sz w:val="18"/>
                <w:szCs w:val="18"/>
                <w:lang w:bidi="ar-SA"/>
              </w:rPr>
              <w:t xml:space="preserve"> </w:t>
            </w:r>
            <w:proofErr w:type="spellStart"/>
            <w:r w:rsidRPr="00BF0BFB">
              <w:rPr>
                <w:sz w:val="18"/>
                <w:szCs w:val="18"/>
                <w:lang w:bidi="ar-SA"/>
              </w:rPr>
              <w:t>v061</w:t>
            </w:r>
            <w:proofErr w:type="spellEnd"/>
          </w:p>
        </w:tc>
        <w:tc>
          <w:tcPr>
            <w:tcW w:w="0" w:type="auto"/>
            <w:tcBorders>
              <w:top w:val="single" w:sz="4" w:space="0" w:color="auto"/>
              <w:bottom w:val="single" w:sz="4" w:space="0" w:color="auto"/>
            </w:tcBorders>
            <w:vAlign w:val="center"/>
          </w:tcPr>
          <w:p w14:paraId="1BE570C6"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2003-202</w:t>
            </w:r>
            <w:r w:rsidRPr="00BF0BFB">
              <w:rPr>
                <w:rFonts w:hint="eastAsia"/>
                <w:sz w:val="18"/>
                <w:szCs w:val="18"/>
                <w:lang w:bidi="ar-SA"/>
              </w:rPr>
              <w:t>3</w:t>
            </w:r>
          </w:p>
        </w:tc>
        <w:tc>
          <w:tcPr>
            <w:tcW w:w="1569" w:type="dxa"/>
            <w:tcBorders>
              <w:top w:val="single" w:sz="4" w:space="0" w:color="auto"/>
              <w:bottom w:val="single" w:sz="4" w:space="0" w:color="auto"/>
            </w:tcBorders>
            <w:vAlign w:val="center"/>
          </w:tcPr>
          <w:p w14:paraId="4C241300"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500 m</w:t>
            </w:r>
            <w:r w:rsidRPr="00BF0BFB">
              <w:rPr>
                <w:rFonts w:hint="eastAsia"/>
                <w:sz w:val="18"/>
                <w:szCs w:val="18"/>
                <w:lang w:bidi="ar-SA"/>
              </w:rPr>
              <w:t xml:space="preserve"> </w:t>
            </w:r>
            <w:r w:rsidRPr="00BF0BFB">
              <w:rPr>
                <w:rFonts w:hint="eastAsia"/>
                <w:sz w:val="18"/>
                <w:szCs w:val="18"/>
                <w:lang w:bidi="ar-SA"/>
              </w:rPr>
              <w:t>×</w:t>
            </w:r>
            <w:r w:rsidRPr="00BF0BFB">
              <w:rPr>
                <w:rFonts w:hint="eastAsia"/>
                <w:sz w:val="18"/>
                <w:szCs w:val="18"/>
                <w:lang w:bidi="ar-SA"/>
              </w:rPr>
              <w:t xml:space="preserve"> </w:t>
            </w:r>
            <w:r w:rsidRPr="00BF0BFB">
              <w:rPr>
                <w:sz w:val="18"/>
                <w:szCs w:val="18"/>
                <w:lang w:bidi="ar-SA"/>
              </w:rPr>
              <w:t>500 m</w:t>
            </w:r>
          </w:p>
        </w:tc>
        <w:tc>
          <w:tcPr>
            <w:tcW w:w="1417" w:type="dxa"/>
            <w:tcBorders>
              <w:top w:val="single" w:sz="4" w:space="0" w:color="auto"/>
              <w:bottom w:val="single" w:sz="4" w:space="0" w:color="auto"/>
            </w:tcBorders>
            <w:vAlign w:val="center"/>
          </w:tcPr>
          <w:p w14:paraId="1EF9D43F"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yearly</w:t>
            </w:r>
          </w:p>
        </w:tc>
        <w:tc>
          <w:tcPr>
            <w:tcW w:w="1701" w:type="dxa"/>
            <w:tcBorders>
              <w:top w:val="single" w:sz="4" w:space="0" w:color="auto"/>
              <w:bottom w:val="single" w:sz="4" w:space="0" w:color="auto"/>
            </w:tcBorders>
            <w:vAlign w:val="center"/>
          </w:tcPr>
          <w:p w14:paraId="71504847"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(Running and Zhao, 2021)</w:t>
            </w:r>
          </w:p>
        </w:tc>
      </w:tr>
      <w:tr w:rsidR="00BF0BFB" w:rsidRPr="00BF0BFB" w14:paraId="0D870A6D" w14:textId="77777777" w:rsidTr="004A7EDC">
        <w:trPr>
          <w:cantSplit/>
          <w:jc w:val="center"/>
        </w:trPr>
        <w:tc>
          <w:tcPr>
            <w:tcW w:w="0" w:type="auto"/>
            <w:vMerge/>
            <w:tcBorders>
              <w:bottom w:val="single" w:sz="4" w:space="0" w:color="auto"/>
            </w:tcBorders>
            <w:vAlign w:val="center"/>
          </w:tcPr>
          <w:p w14:paraId="6B201C50" w14:textId="77777777" w:rsidR="00BF0BFB" w:rsidRPr="00BF0BFB" w:rsidRDefault="00BF0BFB" w:rsidP="00BF0BFB">
            <w:pPr>
              <w:widowControl/>
              <w:spacing w:beforeLines="0" w:before="0" w:afterLines="0" w:after="0" w:line="240" w:lineRule="auto"/>
              <w:jc w:val="center"/>
              <w:rPr>
                <w:sz w:val="18"/>
                <w:szCs w:val="18"/>
                <w:lang w:bidi="ar-SA"/>
              </w:rPr>
            </w:pPr>
          </w:p>
        </w:tc>
        <w:tc>
          <w:tcPr>
            <w:tcW w:w="0" w:type="auto"/>
            <w:tcBorders>
              <w:top w:val="single" w:sz="4" w:space="0" w:color="auto"/>
              <w:bottom w:val="single" w:sz="4" w:space="0" w:color="auto"/>
            </w:tcBorders>
            <w:vAlign w:val="center"/>
          </w:tcPr>
          <w:p w14:paraId="49EB23CB"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Land Cover Type</w:t>
            </w:r>
          </w:p>
          <w:p w14:paraId="5CC910F7" w14:textId="77777777" w:rsidR="00BF0BFB" w:rsidRPr="00BF0BFB" w:rsidRDefault="00BF0BFB" w:rsidP="00BF0BFB">
            <w:pPr>
              <w:widowControl/>
              <w:spacing w:beforeLines="0" w:before="0" w:afterLines="0" w:after="0" w:line="240" w:lineRule="auto"/>
              <w:jc w:val="center"/>
              <w:rPr>
                <w:sz w:val="18"/>
                <w:szCs w:val="18"/>
                <w:lang w:bidi="ar-SA"/>
              </w:rPr>
            </w:pPr>
            <w:proofErr w:type="spellStart"/>
            <w:r w:rsidRPr="00BF0BFB">
              <w:rPr>
                <w:sz w:val="18"/>
                <w:szCs w:val="18"/>
                <w:lang w:bidi="ar-SA"/>
              </w:rPr>
              <w:t>MCD12Q1.061</w:t>
            </w:r>
            <w:proofErr w:type="spellEnd"/>
          </w:p>
        </w:tc>
        <w:tc>
          <w:tcPr>
            <w:tcW w:w="0" w:type="auto"/>
            <w:tcBorders>
              <w:top w:val="single" w:sz="4" w:space="0" w:color="auto"/>
              <w:bottom w:val="single" w:sz="4" w:space="0" w:color="auto"/>
            </w:tcBorders>
            <w:vAlign w:val="center"/>
          </w:tcPr>
          <w:p w14:paraId="289CB4FD"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2003-2023</w:t>
            </w:r>
          </w:p>
        </w:tc>
        <w:tc>
          <w:tcPr>
            <w:tcW w:w="1569" w:type="dxa"/>
            <w:tcBorders>
              <w:top w:val="single" w:sz="4" w:space="0" w:color="auto"/>
              <w:bottom w:val="single" w:sz="4" w:space="0" w:color="auto"/>
            </w:tcBorders>
            <w:vAlign w:val="center"/>
          </w:tcPr>
          <w:p w14:paraId="1ED81EE9"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500 m × 500 m</w:t>
            </w:r>
          </w:p>
        </w:tc>
        <w:tc>
          <w:tcPr>
            <w:tcW w:w="1417" w:type="dxa"/>
            <w:tcBorders>
              <w:top w:val="single" w:sz="4" w:space="0" w:color="auto"/>
              <w:bottom w:val="single" w:sz="4" w:space="0" w:color="auto"/>
            </w:tcBorders>
            <w:vAlign w:val="center"/>
          </w:tcPr>
          <w:p w14:paraId="642691AE"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yearly</w:t>
            </w:r>
          </w:p>
        </w:tc>
        <w:tc>
          <w:tcPr>
            <w:tcW w:w="1701" w:type="dxa"/>
            <w:tcBorders>
              <w:top w:val="single" w:sz="4" w:space="0" w:color="auto"/>
              <w:bottom w:val="single" w:sz="4" w:space="0" w:color="auto"/>
            </w:tcBorders>
            <w:vAlign w:val="center"/>
          </w:tcPr>
          <w:p w14:paraId="36AFB387"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(Friedl and Sulla-Menashe, 2022)</w:t>
            </w:r>
          </w:p>
        </w:tc>
      </w:tr>
      <w:tr w:rsidR="00BF0BFB" w:rsidRPr="00BF0BFB" w14:paraId="795BD1DC" w14:textId="77777777" w:rsidTr="004A7EDC">
        <w:trPr>
          <w:cantSplit/>
          <w:jc w:val="center"/>
        </w:trPr>
        <w:tc>
          <w:tcPr>
            <w:tcW w:w="0" w:type="auto"/>
            <w:vMerge w:val="restart"/>
            <w:tcBorders>
              <w:top w:val="single" w:sz="4" w:space="0" w:color="auto"/>
            </w:tcBorders>
            <w:vAlign w:val="center"/>
          </w:tcPr>
          <w:p w14:paraId="10A7BCE9"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Validation Inventory Data</w:t>
            </w:r>
          </w:p>
        </w:tc>
        <w:tc>
          <w:tcPr>
            <w:tcW w:w="0" w:type="auto"/>
            <w:tcBorders>
              <w:top w:val="single" w:sz="4" w:space="0" w:color="auto"/>
              <w:bottom w:val="single" w:sz="4" w:space="0" w:color="auto"/>
            </w:tcBorders>
            <w:vAlign w:val="center"/>
          </w:tcPr>
          <w:p w14:paraId="0E06EACC"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Global Fire Emissions Database 5 (</w:t>
            </w:r>
            <w:proofErr w:type="spellStart"/>
            <w:r w:rsidRPr="00BF0BFB">
              <w:rPr>
                <w:sz w:val="18"/>
                <w:szCs w:val="18"/>
                <w:lang w:bidi="ar-SA"/>
              </w:rPr>
              <w:t>GFED</w:t>
            </w:r>
            <w:proofErr w:type="spellEnd"/>
            <w:r w:rsidRPr="00BF0BFB">
              <w:rPr>
                <w:sz w:val="18"/>
                <w:szCs w:val="18"/>
                <w:lang w:bidi="ar-SA"/>
              </w:rPr>
              <w:t xml:space="preserve"> 5)</w:t>
            </w:r>
          </w:p>
        </w:tc>
        <w:tc>
          <w:tcPr>
            <w:tcW w:w="0" w:type="auto"/>
            <w:tcBorders>
              <w:top w:val="single" w:sz="4" w:space="0" w:color="auto"/>
              <w:bottom w:val="single" w:sz="4" w:space="0" w:color="auto"/>
            </w:tcBorders>
            <w:vAlign w:val="center"/>
          </w:tcPr>
          <w:p w14:paraId="3A6A57C5"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2003-2022</w:t>
            </w:r>
          </w:p>
        </w:tc>
        <w:tc>
          <w:tcPr>
            <w:tcW w:w="1569" w:type="dxa"/>
            <w:tcBorders>
              <w:top w:val="single" w:sz="4" w:space="0" w:color="auto"/>
              <w:bottom w:val="single" w:sz="4" w:space="0" w:color="auto"/>
            </w:tcBorders>
            <w:vAlign w:val="center"/>
          </w:tcPr>
          <w:p w14:paraId="1CB5FB3B"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0.25°</w:t>
            </w:r>
            <w:r w:rsidRPr="00BF0BFB">
              <w:rPr>
                <w:rFonts w:hint="eastAsia"/>
                <w:sz w:val="18"/>
                <w:szCs w:val="18"/>
                <w:lang w:bidi="ar-SA"/>
              </w:rPr>
              <w:t xml:space="preserve"> </w:t>
            </w:r>
            <w:r w:rsidRPr="00BF0BFB">
              <w:rPr>
                <w:rFonts w:hint="eastAsia"/>
                <w:sz w:val="18"/>
                <w:szCs w:val="18"/>
                <w:lang w:bidi="ar-SA"/>
              </w:rPr>
              <w:t>×</w:t>
            </w:r>
            <w:r w:rsidRPr="00BF0BFB">
              <w:rPr>
                <w:rFonts w:hint="eastAsia"/>
                <w:sz w:val="18"/>
                <w:szCs w:val="18"/>
                <w:lang w:bidi="ar-SA"/>
              </w:rPr>
              <w:t xml:space="preserve"> </w:t>
            </w:r>
            <w:r w:rsidRPr="00BF0BFB">
              <w:rPr>
                <w:sz w:val="18"/>
                <w:szCs w:val="18"/>
                <w:lang w:bidi="ar-SA"/>
              </w:rPr>
              <w:t>0.25°</w:t>
            </w:r>
          </w:p>
        </w:tc>
        <w:tc>
          <w:tcPr>
            <w:tcW w:w="1417" w:type="dxa"/>
            <w:tcBorders>
              <w:top w:val="single" w:sz="4" w:space="0" w:color="auto"/>
              <w:bottom w:val="single" w:sz="4" w:space="0" w:color="auto"/>
            </w:tcBorders>
            <w:vAlign w:val="center"/>
          </w:tcPr>
          <w:p w14:paraId="0C73D809"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daily</w:t>
            </w:r>
          </w:p>
        </w:tc>
        <w:tc>
          <w:tcPr>
            <w:tcW w:w="1701" w:type="dxa"/>
            <w:tcBorders>
              <w:top w:val="single" w:sz="4" w:space="0" w:color="auto"/>
              <w:bottom w:val="single" w:sz="4" w:space="0" w:color="auto"/>
            </w:tcBorders>
            <w:vAlign w:val="center"/>
          </w:tcPr>
          <w:p w14:paraId="53337D54"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 xml:space="preserve">(Binte Shahid et al., 2024; </w:t>
            </w:r>
            <w:proofErr w:type="spellStart"/>
            <w:r w:rsidRPr="00BF0BFB">
              <w:rPr>
                <w:sz w:val="18"/>
                <w:szCs w:val="18"/>
                <w:lang w:bidi="ar-SA"/>
              </w:rPr>
              <w:t>Vernooij</w:t>
            </w:r>
            <w:proofErr w:type="spellEnd"/>
            <w:r w:rsidRPr="00BF0BFB">
              <w:rPr>
                <w:sz w:val="18"/>
                <w:szCs w:val="18"/>
                <w:lang w:bidi="ar-SA"/>
              </w:rPr>
              <w:t xml:space="preserve"> et al., 2023; Wiggins et al., 2021)</w:t>
            </w:r>
          </w:p>
        </w:tc>
      </w:tr>
      <w:tr w:rsidR="00BF0BFB" w:rsidRPr="00BF0BFB" w14:paraId="25B91060" w14:textId="77777777" w:rsidTr="004A7EDC">
        <w:trPr>
          <w:cantSplit/>
          <w:jc w:val="center"/>
        </w:trPr>
        <w:tc>
          <w:tcPr>
            <w:tcW w:w="0" w:type="auto"/>
            <w:vMerge/>
            <w:vAlign w:val="center"/>
          </w:tcPr>
          <w:p w14:paraId="528ED6AA" w14:textId="77777777" w:rsidR="00BF0BFB" w:rsidRPr="00BF0BFB" w:rsidRDefault="00BF0BFB" w:rsidP="00BF0BFB">
            <w:pPr>
              <w:widowControl/>
              <w:spacing w:beforeLines="0" w:before="0" w:afterLines="0" w:after="0" w:line="240" w:lineRule="auto"/>
              <w:jc w:val="center"/>
              <w:rPr>
                <w:sz w:val="18"/>
                <w:szCs w:val="18"/>
                <w:lang w:bidi="ar-SA"/>
              </w:rPr>
            </w:pPr>
          </w:p>
        </w:tc>
        <w:tc>
          <w:tcPr>
            <w:tcW w:w="0" w:type="auto"/>
            <w:tcBorders>
              <w:top w:val="single" w:sz="4" w:space="0" w:color="auto"/>
              <w:bottom w:val="single" w:sz="4" w:space="0" w:color="auto"/>
            </w:tcBorders>
            <w:vAlign w:val="center"/>
          </w:tcPr>
          <w:p w14:paraId="4CCE0768"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 xml:space="preserve">Fire </w:t>
            </w:r>
            <w:proofErr w:type="spellStart"/>
            <w:r w:rsidRPr="00BF0BFB">
              <w:rPr>
                <w:sz w:val="18"/>
                <w:szCs w:val="18"/>
                <w:lang w:bidi="ar-SA"/>
              </w:rPr>
              <w:t>INventory</w:t>
            </w:r>
            <w:proofErr w:type="spellEnd"/>
            <w:r w:rsidRPr="00BF0BFB">
              <w:rPr>
                <w:sz w:val="18"/>
                <w:szCs w:val="18"/>
                <w:lang w:bidi="ar-SA"/>
              </w:rPr>
              <w:t xml:space="preserve"> from NCAR 2.5 (FINN 2.5) MODIS</w:t>
            </w:r>
          </w:p>
        </w:tc>
        <w:tc>
          <w:tcPr>
            <w:tcW w:w="0" w:type="auto"/>
            <w:tcBorders>
              <w:top w:val="single" w:sz="4" w:space="0" w:color="auto"/>
              <w:bottom w:val="single" w:sz="4" w:space="0" w:color="auto"/>
            </w:tcBorders>
            <w:vAlign w:val="center"/>
          </w:tcPr>
          <w:p w14:paraId="16FEFDD8"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2002-202</w:t>
            </w:r>
            <w:r w:rsidRPr="00BF0BFB">
              <w:rPr>
                <w:rFonts w:hint="eastAsia"/>
                <w:sz w:val="18"/>
                <w:szCs w:val="18"/>
                <w:lang w:bidi="ar-SA"/>
              </w:rPr>
              <w:t>2</w:t>
            </w:r>
          </w:p>
        </w:tc>
        <w:tc>
          <w:tcPr>
            <w:tcW w:w="1569" w:type="dxa"/>
            <w:tcBorders>
              <w:top w:val="single" w:sz="4" w:space="0" w:color="auto"/>
              <w:bottom w:val="single" w:sz="4" w:space="0" w:color="auto"/>
            </w:tcBorders>
            <w:vAlign w:val="center"/>
          </w:tcPr>
          <w:p w14:paraId="4F5D11DF"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0.1°</w:t>
            </w:r>
            <w:r w:rsidRPr="00BF0BFB">
              <w:rPr>
                <w:rFonts w:hint="eastAsia"/>
                <w:sz w:val="18"/>
                <w:szCs w:val="18"/>
                <w:lang w:bidi="ar-SA"/>
              </w:rPr>
              <w:t xml:space="preserve"> </w:t>
            </w:r>
            <w:r w:rsidRPr="00BF0BFB">
              <w:rPr>
                <w:rFonts w:hint="eastAsia"/>
                <w:sz w:val="18"/>
                <w:szCs w:val="18"/>
                <w:lang w:bidi="ar-SA"/>
              </w:rPr>
              <w:t>×</w:t>
            </w:r>
            <w:r w:rsidRPr="00BF0BFB">
              <w:rPr>
                <w:rFonts w:hint="eastAsia"/>
                <w:sz w:val="18"/>
                <w:szCs w:val="18"/>
                <w:lang w:bidi="ar-SA"/>
              </w:rPr>
              <w:t xml:space="preserve"> </w:t>
            </w:r>
            <w:r w:rsidRPr="00BF0BFB">
              <w:rPr>
                <w:sz w:val="18"/>
                <w:szCs w:val="18"/>
                <w:lang w:bidi="ar-SA"/>
              </w:rPr>
              <w:t>0.1°</w:t>
            </w:r>
          </w:p>
        </w:tc>
        <w:tc>
          <w:tcPr>
            <w:tcW w:w="1417" w:type="dxa"/>
            <w:tcBorders>
              <w:top w:val="single" w:sz="4" w:space="0" w:color="auto"/>
              <w:bottom w:val="single" w:sz="4" w:space="0" w:color="auto"/>
            </w:tcBorders>
            <w:vAlign w:val="center"/>
          </w:tcPr>
          <w:p w14:paraId="40838003"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daily</w:t>
            </w:r>
          </w:p>
        </w:tc>
        <w:tc>
          <w:tcPr>
            <w:tcW w:w="1701" w:type="dxa"/>
            <w:tcBorders>
              <w:top w:val="single" w:sz="4" w:space="0" w:color="auto"/>
              <w:bottom w:val="single" w:sz="4" w:space="0" w:color="auto"/>
            </w:tcBorders>
            <w:vAlign w:val="center"/>
          </w:tcPr>
          <w:p w14:paraId="0FD2D16E"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w:t>
            </w:r>
            <w:proofErr w:type="spellStart"/>
            <w:r w:rsidRPr="00BF0BFB">
              <w:rPr>
                <w:sz w:val="18"/>
                <w:szCs w:val="18"/>
                <w:lang w:bidi="ar-SA"/>
              </w:rPr>
              <w:t>Wiedinmyer</w:t>
            </w:r>
            <w:proofErr w:type="spellEnd"/>
            <w:r w:rsidRPr="00BF0BFB">
              <w:rPr>
                <w:sz w:val="18"/>
                <w:szCs w:val="18"/>
                <w:lang w:bidi="ar-SA"/>
              </w:rPr>
              <w:t xml:space="preserve"> et al., 2023)</w:t>
            </w:r>
          </w:p>
        </w:tc>
      </w:tr>
      <w:tr w:rsidR="00BF0BFB" w:rsidRPr="00BF0BFB" w14:paraId="050A690E" w14:textId="77777777" w:rsidTr="004A7EDC">
        <w:trPr>
          <w:cantSplit/>
          <w:jc w:val="center"/>
        </w:trPr>
        <w:tc>
          <w:tcPr>
            <w:tcW w:w="0" w:type="auto"/>
            <w:vMerge/>
            <w:vAlign w:val="center"/>
          </w:tcPr>
          <w:p w14:paraId="47B5FB2E" w14:textId="77777777" w:rsidR="00BF0BFB" w:rsidRPr="00BF0BFB" w:rsidRDefault="00BF0BFB" w:rsidP="00BF0BFB">
            <w:pPr>
              <w:widowControl/>
              <w:spacing w:beforeLines="0" w:before="0" w:afterLines="0" w:after="0" w:line="240" w:lineRule="auto"/>
              <w:jc w:val="center"/>
              <w:rPr>
                <w:sz w:val="18"/>
                <w:szCs w:val="18"/>
                <w:lang w:bidi="ar-SA"/>
              </w:rPr>
            </w:pPr>
          </w:p>
        </w:tc>
        <w:tc>
          <w:tcPr>
            <w:tcW w:w="0" w:type="auto"/>
            <w:tcBorders>
              <w:top w:val="single" w:sz="4" w:space="0" w:color="auto"/>
              <w:bottom w:val="single" w:sz="4" w:space="0" w:color="auto"/>
            </w:tcBorders>
            <w:vAlign w:val="center"/>
          </w:tcPr>
          <w:p w14:paraId="2B71F86B"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Global Fire Assimilation System 1.2</w:t>
            </w:r>
            <w:r w:rsidRPr="00BF0BFB">
              <w:rPr>
                <w:rFonts w:hint="eastAsia"/>
                <w:sz w:val="18"/>
                <w:szCs w:val="18"/>
                <w:lang w:bidi="ar-SA"/>
              </w:rPr>
              <w:t xml:space="preserve"> </w:t>
            </w:r>
            <w:r w:rsidRPr="00BF0BFB">
              <w:rPr>
                <w:sz w:val="18"/>
                <w:szCs w:val="18"/>
                <w:lang w:bidi="ar-SA"/>
              </w:rPr>
              <w:t>(</w:t>
            </w:r>
            <w:proofErr w:type="spellStart"/>
            <w:r w:rsidRPr="00BF0BFB">
              <w:rPr>
                <w:sz w:val="18"/>
                <w:szCs w:val="18"/>
                <w:lang w:bidi="ar-SA"/>
              </w:rPr>
              <w:t>GFAS</w:t>
            </w:r>
            <w:proofErr w:type="spellEnd"/>
            <w:r w:rsidRPr="00BF0BFB">
              <w:rPr>
                <w:sz w:val="18"/>
                <w:szCs w:val="18"/>
                <w:lang w:bidi="ar-SA"/>
              </w:rPr>
              <w:t xml:space="preserve"> 1.2)</w:t>
            </w:r>
          </w:p>
        </w:tc>
        <w:tc>
          <w:tcPr>
            <w:tcW w:w="0" w:type="auto"/>
            <w:tcBorders>
              <w:top w:val="single" w:sz="4" w:space="0" w:color="auto"/>
              <w:bottom w:val="single" w:sz="4" w:space="0" w:color="auto"/>
            </w:tcBorders>
            <w:vAlign w:val="center"/>
          </w:tcPr>
          <w:p w14:paraId="4E53D924"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2003-202</w:t>
            </w:r>
            <w:r w:rsidRPr="00BF0BFB">
              <w:rPr>
                <w:rFonts w:hint="eastAsia"/>
                <w:sz w:val="18"/>
                <w:szCs w:val="18"/>
                <w:lang w:bidi="ar-SA"/>
              </w:rPr>
              <w:t>2</w:t>
            </w:r>
          </w:p>
        </w:tc>
        <w:tc>
          <w:tcPr>
            <w:tcW w:w="1569" w:type="dxa"/>
            <w:tcBorders>
              <w:top w:val="single" w:sz="4" w:space="0" w:color="auto"/>
              <w:bottom w:val="single" w:sz="4" w:space="0" w:color="auto"/>
            </w:tcBorders>
            <w:vAlign w:val="center"/>
          </w:tcPr>
          <w:p w14:paraId="01BE23BB"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0.1°</w:t>
            </w:r>
            <w:r w:rsidRPr="00BF0BFB">
              <w:rPr>
                <w:rFonts w:hint="eastAsia"/>
                <w:sz w:val="18"/>
                <w:szCs w:val="18"/>
                <w:lang w:bidi="ar-SA"/>
              </w:rPr>
              <w:t xml:space="preserve"> </w:t>
            </w:r>
            <w:r w:rsidRPr="00BF0BFB">
              <w:rPr>
                <w:rFonts w:hint="eastAsia"/>
                <w:sz w:val="18"/>
                <w:szCs w:val="18"/>
                <w:lang w:bidi="ar-SA"/>
              </w:rPr>
              <w:t>×</w:t>
            </w:r>
            <w:r w:rsidRPr="00BF0BFB">
              <w:rPr>
                <w:rFonts w:hint="eastAsia"/>
                <w:sz w:val="18"/>
                <w:szCs w:val="18"/>
                <w:lang w:bidi="ar-SA"/>
              </w:rPr>
              <w:t xml:space="preserve"> </w:t>
            </w:r>
            <w:r w:rsidRPr="00BF0BFB">
              <w:rPr>
                <w:sz w:val="18"/>
                <w:szCs w:val="18"/>
                <w:lang w:bidi="ar-SA"/>
              </w:rPr>
              <w:t>0.1°</w:t>
            </w:r>
          </w:p>
        </w:tc>
        <w:tc>
          <w:tcPr>
            <w:tcW w:w="1417" w:type="dxa"/>
            <w:tcBorders>
              <w:top w:val="single" w:sz="4" w:space="0" w:color="auto"/>
              <w:bottom w:val="single" w:sz="4" w:space="0" w:color="auto"/>
            </w:tcBorders>
            <w:vAlign w:val="center"/>
          </w:tcPr>
          <w:p w14:paraId="766D74C1"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daily</w:t>
            </w:r>
          </w:p>
        </w:tc>
        <w:tc>
          <w:tcPr>
            <w:tcW w:w="1701" w:type="dxa"/>
            <w:tcBorders>
              <w:top w:val="single" w:sz="4" w:space="0" w:color="auto"/>
              <w:bottom w:val="single" w:sz="4" w:space="0" w:color="auto"/>
            </w:tcBorders>
            <w:vAlign w:val="center"/>
          </w:tcPr>
          <w:p w14:paraId="6024F651"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(Kaiser et al., 2012)</w:t>
            </w:r>
          </w:p>
        </w:tc>
      </w:tr>
      <w:tr w:rsidR="00BF0BFB" w:rsidRPr="00BF0BFB" w14:paraId="75D8C733" w14:textId="77777777" w:rsidTr="004A7EDC">
        <w:trPr>
          <w:cantSplit/>
          <w:jc w:val="center"/>
        </w:trPr>
        <w:tc>
          <w:tcPr>
            <w:tcW w:w="0" w:type="auto"/>
            <w:vMerge/>
            <w:tcBorders>
              <w:bottom w:val="single" w:sz="4" w:space="0" w:color="auto"/>
            </w:tcBorders>
            <w:vAlign w:val="center"/>
          </w:tcPr>
          <w:p w14:paraId="7B6CF993" w14:textId="77777777" w:rsidR="00BF0BFB" w:rsidRPr="00BF0BFB" w:rsidRDefault="00BF0BFB" w:rsidP="00BF0BFB">
            <w:pPr>
              <w:widowControl/>
              <w:spacing w:beforeLines="0" w:before="0" w:afterLines="0" w:after="0" w:line="240" w:lineRule="auto"/>
              <w:jc w:val="center"/>
              <w:rPr>
                <w:sz w:val="18"/>
                <w:szCs w:val="18"/>
                <w:lang w:bidi="ar-SA"/>
              </w:rPr>
            </w:pPr>
          </w:p>
        </w:tc>
        <w:tc>
          <w:tcPr>
            <w:tcW w:w="0" w:type="auto"/>
            <w:tcBorders>
              <w:top w:val="single" w:sz="4" w:space="0" w:color="auto"/>
              <w:bottom w:val="single" w:sz="4" w:space="0" w:color="auto"/>
            </w:tcBorders>
            <w:vAlign w:val="center"/>
          </w:tcPr>
          <w:p w14:paraId="1EAF8526"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Quick Fire Emissions Dataset 3.1 (</w:t>
            </w:r>
            <w:proofErr w:type="spellStart"/>
            <w:r w:rsidRPr="00BF0BFB">
              <w:rPr>
                <w:sz w:val="18"/>
                <w:szCs w:val="18"/>
                <w:lang w:bidi="ar-SA"/>
              </w:rPr>
              <w:t>QFED</w:t>
            </w:r>
            <w:proofErr w:type="spellEnd"/>
            <w:r w:rsidRPr="00BF0BFB">
              <w:rPr>
                <w:rFonts w:hint="eastAsia"/>
                <w:sz w:val="18"/>
                <w:szCs w:val="18"/>
                <w:lang w:bidi="ar-SA"/>
              </w:rPr>
              <w:t xml:space="preserve"> </w:t>
            </w:r>
            <w:r w:rsidRPr="00BF0BFB">
              <w:rPr>
                <w:sz w:val="18"/>
                <w:szCs w:val="18"/>
                <w:lang w:bidi="ar-SA"/>
              </w:rPr>
              <w:t>3.1)</w:t>
            </w:r>
          </w:p>
        </w:tc>
        <w:tc>
          <w:tcPr>
            <w:tcW w:w="0" w:type="auto"/>
            <w:tcBorders>
              <w:top w:val="single" w:sz="4" w:space="0" w:color="auto"/>
              <w:bottom w:val="single" w:sz="4" w:space="0" w:color="auto"/>
            </w:tcBorders>
            <w:vAlign w:val="center"/>
          </w:tcPr>
          <w:p w14:paraId="4E93C950"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2003-2022</w:t>
            </w:r>
          </w:p>
        </w:tc>
        <w:tc>
          <w:tcPr>
            <w:tcW w:w="1569" w:type="dxa"/>
            <w:tcBorders>
              <w:top w:val="single" w:sz="4" w:space="0" w:color="auto"/>
              <w:bottom w:val="single" w:sz="4" w:space="0" w:color="auto"/>
            </w:tcBorders>
            <w:vAlign w:val="center"/>
          </w:tcPr>
          <w:p w14:paraId="169ED8FB"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0.1°</w:t>
            </w:r>
            <w:r w:rsidRPr="00BF0BFB">
              <w:rPr>
                <w:rFonts w:hint="eastAsia"/>
                <w:sz w:val="18"/>
                <w:szCs w:val="18"/>
                <w:lang w:bidi="ar-SA"/>
              </w:rPr>
              <w:t xml:space="preserve"> </w:t>
            </w:r>
            <w:r w:rsidRPr="00BF0BFB">
              <w:rPr>
                <w:rFonts w:hint="eastAsia"/>
                <w:sz w:val="18"/>
                <w:szCs w:val="18"/>
                <w:lang w:bidi="ar-SA"/>
              </w:rPr>
              <w:t>×</w:t>
            </w:r>
            <w:r w:rsidRPr="00BF0BFB">
              <w:rPr>
                <w:rFonts w:hint="eastAsia"/>
                <w:sz w:val="18"/>
                <w:szCs w:val="18"/>
                <w:lang w:bidi="ar-SA"/>
              </w:rPr>
              <w:t xml:space="preserve"> </w:t>
            </w:r>
            <w:r w:rsidRPr="00BF0BFB">
              <w:rPr>
                <w:sz w:val="18"/>
                <w:szCs w:val="18"/>
                <w:lang w:bidi="ar-SA"/>
              </w:rPr>
              <w:t>0.1°</w:t>
            </w:r>
          </w:p>
        </w:tc>
        <w:tc>
          <w:tcPr>
            <w:tcW w:w="1417" w:type="dxa"/>
            <w:tcBorders>
              <w:top w:val="single" w:sz="4" w:space="0" w:color="auto"/>
              <w:bottom w:val="single" w:sz="4" w:space="0" w:color="auto"/>
            </w:tcBorders>
            <w:vAlign w:val="center"/>
          </w:tcPr>
          <w:p w14:paraId="66F6E3A2"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daily</w:t>
            </w:r>
          </w:p>
        </w:tc>
        <w:tc>
          <w:tcPr>
            <w:tcW w:w="1701" w:type="dxa"/>
            <w:tcBorders>
              <w:top w:val="single" w:sz="4" w:space="0" w:color="auto"/>
              <w:bottom w:val="single" w:sz="4" w:space="0" w:color="auto"/>
            </w:tcBorders>
            <w:vAlign w:val="center"/>
          </w:tcPr>
          <w:p w14:paraId="28879E83" w14:textId="77777777" w:rsidR="00BF0BFB" w:rsidRPr="00BF0BFB" w:rsidRDefault="00BF0BFB" w:rsidP="00BF0BFB">
            <w:pPr>
              <w:widowControl/>
              <w:spacing w:beforeLines="0" w:before="0" w:afterLines="0" w:after="0" w:line="240" w:lineRule="auto"/>
              <w:jc w:val="center"/>
              <w:rPr>
                <w:sz w:val="18"/>
                <w:szCs w:val="18"/>
                <w:lang w:bidi="ar-SA"/>
              </w:rPr>
            </w:pPr>
            <w:r w:rsidRPr="00BF0BFB">
              <w:rPr>
                <w:sz w:val="18"/>
                <w:szCs w:val="18"/>
                <w:lang w:bidi="ar-SA"/>
              </w:rPr>
              <w:t>(Koster et al., 2015)</w:t>
            </w:r>
          </w:p>
        </w:tc>
      </w:tr>
    </w:tbl>
    <w:p w14:paraId="40E99FC4" w14:textId="08836C96" w:rsidR="0087040C" w:rsidRPr="00A16A16" w:rsidRDefault="00BF0BFB" w:rsidP="00A16A16">
      <w:pPr>
        <w:widowControl/>
        <w:spacing w:beforeLines="0" w:before="0" w:afterLines="0" w:after="0" w:line="288" w:lineRule="auto"/>
        <w:rPr>
          <w:rFonts w:eastAsia="等线" w:cs="Times New Roman"/>
          <w:sz w:val="20"/>
          <w:lang w:bidi="ar-SA"/>
        </w:rPr>
      </w:pPr>
      <w:r w:rsidRPr="00BF0BFB">
        <w:rPr>
          <w:rFonts w:eastAsia="Times New Roman" w:cs="Times New Roman"/>
          <w:sz w:val="20"/>
          <w:lang w:bidi="ar-SA"/>
        </w:rPr>
        <w:lastRenderedPageBreak/>
        <w:t>Note: The 8-class biome map is derived from the 30-class biome map. See Fig</w:t>
      </w:r>
      <w:r w:rsidRPr="00BF0BFB">
        <w:rPr>
          <w:rFonts w:eastAsia="Times New Roman" w:cs="Times New Roman" w:hint="eastAsia"/>
          <w:sz w:val="20"/>
          <w:lang w:bidi="ar-SA"/>
        </w:rPr>
        <w:t>.</w:t>
      </w:r>
      <w:r w:rsidRPr="00BF0BFB">
        <w:rPr>
          <w:rFonts w:eastAsia="Times New Roman" w:cs="Times New Roman"/>
          <w:sz w:val="20"/>
          <w:lang w:bidi="ar-SA"/>
        </w:rPr>
        <w:t xml:space="preserve"> </w:t>
      </w:r>
      <w:proofErr w:type="spellStart"/>
      <w:r w:rsidRPr="00BF0BFB">
        <w:rPr>
          <w:rFonts w:eastAsia="Times New Roman" w:cs="Times New Roman"/>
          <w:sz w:val="20"/>
          <w:lang w:bidi="ar-SA"/>
        </w:rPr>
        <w:t>S1</w:t>
      </w:r>
      <w:proofErr w:type="spellEnd"/>
      <w:r w:rsidRPr="00BF0BFB">
        <w:rPr>
          <w:rFonts w:eastAsia="Times New Roman" w:cs="Times New Roman"/>
          <w:sz w:val="20"/>
          <w:lang w:bidi="ar-SA"/>
        </w:rPr>
        <w:t xml:space="preserve"> for its spatial distribution.</w:t>
      </w:r>
    </w:p>
    <w:p w14:paraId="37031964" w14:textId="05927E1C" w:rsidR="0087040C" w:rsidRDefault="0087040C" w:rsidP="00156F66">
      <w:pPr>
        <w:spacing w:before="156" w:after="156"/>
        <w:rPr>
          <w:rFonts w:cs="Times New Roman"/>
          <w:color w:val="000000" w:themeColor="text1"/>
          <w:sz w:val="20"/>
          <w:szCs w:val="20"/>
        </w:rPr>
      </w:pPr>
      <w:r w:rsidRPr="0087040C">
        <w:rPr>
          <w:rFonts w:cs="Times New Roman" w:hint="eastAsia"/>
          <w:color w:val="000000" w:themeColor="text1"/>
          <w:sz w:val="20"/>
          <w:szCs w:val="20"/>
        </w:rPr>
        <w:t>5.</w:t>
      </w:r>
      <w:r>
        <w:rPr>
          <w:rFonts w:cs="Times New Roman" w:hint="eastAsia"/>
          <w:color w:val="000000" w:themeColor="text1"/>
          <w:sz w:val="20"/>
          <w:szCs w:val="20"/>
        </w:rPr>
        <w:t xml:space="preserve"> </w:t>
      </w:r>
      <w:r w:rsidRPr="0087040C">
        <w:rPr>
          <w:rFonts w:cs="Times New Roman"/>
          <w:color w:val="000000" w:themeColor="text1"/>
          <w:sz w:val="20"/>
          <w:szCs w:val="20"/>
        </w:rPr>
        <w:t xml:space="preserve">Figures </w:t>
      </w:r>
      <w:proofErr w:type="spellStart"/>
      <w:r w:rsidRPr="0087040C">
        <w:rPr>
          <w:rFonts w:cs="Times New Roman"/>
          <w:color w:val="000000" w:themeColor="text1"/>
          <w:sz w:val="20"/>
          <w:szCs w:val="20"/>
        </w:rPr>
        <w:t>2a</w:t>
      </w:r>
      <w:proofErr w:type="spellEnd"/>
      <w:r w:rsidRPr="0087040C">
        <w:rPr>
          <w:rFonts w:cs="Times New Roman"/>
          <w:color w:val="000000" w:themeColor="text1"/>
          <w:sz w:val="20"/>
          <w:szCs w:val="20"/>
        </w:rPr>
        <w:t xml:space="preserve"> and </w:t>
      </w:r>
      <w:proofErr w:type="spellStart"/>
      <w:r w:rsidRPr="0087040C">
        <w:rPr>
          <w:rFonts w:cs="Times New Roman"/>
          <w:color w:val="000000" w:themeColor="text1"/>
          <w:sz w:val="20"/>
          <w:szCs w:val="20"/>
        </w:rPr>
        <w:t>3a,b</w:t>
      </w:r>
      <w:proofErr w:type="spellEnd"/>
      <w:r w:rsidRPr="0087040C">
        <w:rPr>
          <w:rFonts w:cs="Times New Roman"/>
          <w:color w:val="000000" w:themeColor="text1"/>
          <w:sz w:val="20"/>
          <w:szCs w:val="20"/>
        </w:rPr>
        <w:t>: Fonts are too small, reducing readability. Please enlarge them and ensure consistent styling across panels.</w:t>
      </w:r>
    </w:p>
    <w:p w14:paraId="5231F234" w14:textId="4621ACE8" w:rsidR="0087040C" w:rsidRPr="0087040C" w:rsidRDefault="0087040C" w:rsidP="0087040C">
      <w:pPr>
        <w:spacing w:before="156" w:after="156"/>
        <w:rPr>
          <w:rFonts w:cs="Times New Roman"/>
          <w:color w:val="000000" w:themeColor="text1"/>
          <w:sz w:val="20"/>
          <w:szCs w:val="20"/>
        </w:rPr>
      </w:pPr>
      <w:r w:rsidRPr="0087040C">
        <w:rPr>
          <w:rFonts w:cs="Times New Roman"/>
          <w:b/>
          <w:bCs/>
          <w:color w:val="000000" w:themeColor="text1"/>
          <w:sz w:val="20"/>
          <w:szCs w:val="20"/>
        </w:rPr>
        <w:t>Response:</w:t>
      </w:r>
      <w:r w:rsidRPr="0087040C">
        <w:rPr>
          <w:rFonts w:cs="Times New Roman"/>
          <w:color w:val="000000" w:themeColor="text1"/>
          <w:sz w:val="20"/>
          <w:szCs w:val="20"/>
        </w:rPr>
        <w:t xml:space="preserve"> </w:t>
      </w:r>
      <w:r w:rsidR="00BF0BFB" w:rsidRPr="00BF0BFB">
        <w:rPr>
          <w:rFonts w:cs="Times New Roman"/>
          <w:color w:val="000000" w:themeColor="text1"/>
          <w:sz w:val="20"/>
          <w:szCs w:val="20"/>
        </w:rPr>
        <w:t xml:space="preserve">We appreciate the reviewer’s feedback regarding the visual clarity of our figures. We acknowledge that the font sizes in Figures </w:t>
      </w:r>
      <w:proofErr w:type="spellStart"/>
      <w:r w:rsidR="00BF0BFB" w:rsidRPr="00BF0BFB">
        <w:rPr>
          <w:rFonts w:cs="Times New Roman"/>
          <w:color w:val="000000" w:themeColor="text1"/>
          <w:sz w:val="20"/>
          <w:szCs w:val="20"/>
        </w:rPr>
        <w:t>2a</w:t>
      </w:r>
      <w:proofErr w:type="spellEnd"/>
      <w:r w:rsidR="00BF0BFB" w:rsidRPr="00BF0BFB">
        <w:rPr>
          <w:rFonts w:cs="Times New Roman"/>
          <w:color w:val="000000" w:themeColor="text1"/>
          <w:sz w:val="20"/>
          <w:szCs w:val="20"/>
        </w:rPr>
        <w:t xml:space="preserve"> and </w:t>
      </w:r>
      <w:proofErr w:type="spellStart"/>
      <w:r w:rsidR="00BF0BFB" w:rsidRPr="00BF0BFB">
        <w:rPr>
          <w:rFonts w:cs="Times New Roman"/>
          <w:color w:val="000000" w:themeColor="text1"/>
          <w:sz w:val="20"/>
          <w:szCs w:val="20"/>
        </w:rPr>
        <w:t>3a,b</w:t>
      </w:r>
      <w:proofErr w:type="spellEnd"/>
      <w:r w:rsidR="00BF0BFB" w:rsidRPr="00BF0BFB">
        <w:rPr>
          <w:rFonts w:cs="Times New Roman"/>
          <w:color w:val="000000" w:themeColor="text1"/>
          <w:sz w:val="20"/>
          <w:szCs w:val="20"/>
        </w:rPr>
        <w:t xml:space="preserve"> were insufficient for easy reading. We have redrawn these panels with significantly enlarged fonts and have ensured that the styling is consistent across all figures to improve the overall graphical quality of the manuscript.</w:t>
      </w:r>
    </w:p>
    <w:p w14:paraId="7014443E" w14:textId="1F7EB126" w:rsidR="00BF0BFB" w:rsidRDefault="00BF0BFB" w:rsidP="0087040C">
      <w:pPr>
        <w:spacing w:before="156" w:after="156"/>
        <w:rPr>
          <w:rFonts w:cs="Times New Roman"/>
          <w:color w:val="000000" w:themeColor="text1"/>
          <w:sz w:val="20"/>
          <w:szCs w:val="20"/>
        </w:rPr>
      </w:pPr>
      <w:r w:rsidRPr="00BF0BFB">
        <w:rPr>
          <w:rFonts w:cs="Times New Roman"/>
          <w:color w:val="000000" w:themeColor="text1"/>
          <w:sz w:val="20"/>
          <w:szCs w:val="20"/>
        </w:rPr>
        <w:t xml:space="preserve">Please refer to the following is the revised </w:t>
      </w:r>
      <w:r>
        <w:rPr>
          <w:rFonts w:cs="Times New Roman" w:hint="eastAsia"/>
          <w:color w:val="000000" w:themeColor="text1"/>
          <w:sz w:val="20"/>
          <w:szCs w:val="20"/>
        </w:rPr>
        <w:t>Figure 2 and 3</w:t>
      </w:r>
      <w:r w:rsidRPr="00BF0BFB">
        <w:rPr>
          <w:rFonts w:cs="Times New Roman"/>
          <w:color w:val="000000" w:themeColor="text1"/>
          <w:sz w:val="20"/>
          <w:szCs w:val="20"/>
        </w:rPr>
        <w:t>:</w:t>
      </w:r>
    </w:p>
    <w:p w14:paraId="52F66949" w14:textId="12C5F826" w:rsidR="0087040C" w:rsidRDefault="00BF0BFB" w:rsidP="00156F66">
      <w:pPr>
        <w:spacing w:before="156" w:after="156"/>
        <w:rPr>
          <w:rFonts w:cs="Times New Roman"/>
          <w:color w:val="000000" w:themeColor="text1"/>
          <w:sz w:val="20"/>
          <w:szCs w:val="20"/>
        </w:rPr>
      </w:pPr>
      <w:r>
        <w:rPr>
          <w:rFonts w:cs="Times New Roman"/>
          <w:noProof/>
          <w:color w:val="215E99" w:themeColor="text2" w:themeTint="BF"/>
          <w:sz w:val="20"/>
          <w:szCs w:val="20"/>
        </w:rPr>
        <w:drawing>
          <wp:inline distT="0" distB="0" distL="0" distR="0" wp14:anchorId="29346EE3" wp14:editId="74610479">
            <wp:extent cx="5270500" cy="4787900"/>
            <wp:effectExtent l="0" t="0" r="6350" b="0"/>
            <wp:docPr id="80368955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0500" cy="4787900"/>
                    </a:xfrm>
                    <a:prstGeom prst="rect">
                      <a:avLst/>
                    </a:prstGeom>
                    <a:noFill/>
                    <a:ln>
                      <a:noFill/>
                    </a:ln>
                  </pic:spPr>
                </pic:pic>
              </a:graphicData>
            </a:graphic>
          </wp:inline>
        </w:drawing>
      </w:r>
    </w:p>
    <w:p w14:paraId="1C9BFEAE" w14:textId="71AB1EBD" w:rsidR="00BF0BFB" w:rsidRPr="00BF0BFB" w:rsidRDefault="00BF0BFB" w:rsidP="00BF0BFB">
      <w:pPr>
        <w:spacing w:before="156" w:after="156" w:line="240" w:lineRule="auto"/>
        <w:rPr>
          <w:rFonts w:cs="Times New Roman"/>
          <w:b/>
          <w:bCs/>
          <w:sz w:val="20"/>
          <w:szCs w:val="20"/>
        </w:rPr>
      </w:pPr>
      <w:r w:rsidRPr="00BF0BFB">
        <w:rPr>
          <w:rFonts w:cs="Times New Roman"/>
          <w:b/>
          <w:bCs/>
          <w:sz w:val="20"/>
          <w:szCs w:val="20"/>
        </w:rPr>
        <w:t>Figure 2. Spatial patterns and regional composition of global biomass burning CO</w:t>
      </w:r>
      <w:r w:rsidRPr="00821A27">
        <w:rPr>
          <w:rFonts w:cs="Times New Roman"/>
          <w:b/>
          <w:bCs/>
          <w:sz w:val="20"/>
          <w:szCs w:val="20"/>
          <w:vertAlign w:val="subscript"/>
        </w:rPr>
        <w:t>2</w:t>
      </w:r>
      <w:r w:rsidRPr="00BF0BFB">
        <w:rPr>
          <w:rFonts w:cs="Times New Roman"/>
          <w:b/>
          <w:bCs/>
          <w:sz w:val="20"/>
          <w:szCs w:val="20"/>
        </w:rPr>
        <w:t xml:space="preserve"> emissions (mean of 2003–2023). (a) Spatial distribution of the annual mean CO</w:t>
      </w:r>
      <w:r w:rsidRPr="00821A27">
        <w:rPr>
          <w:rFonts w:cs="Times New Roman"/>
          <w:b/>
          <w:bCs/>
          <w:sz w:val="20"/>
          <w:szCs w:val="20"/>
          <w:vertAlign w:val="subscript"/>
        </w:rPr>
        <w:t>2</w:t>
      </w:r>
      <w:r w:rsidRPr="00BF0BFB">
        <w:rPr>
          <w:rFonts w:cs="Times New Roman"/>
          <w:b/>
          <w:bCs/>
          <w:sz w:val="20"/>
          <w:szCs w:val="20"/>
        </w:rPr>
        <w:t xml:space="preserve"> emission flux estimated from the mean of the eight inventories in this study. The embedded pie charts show the emission composition for 14 major regions, where: 1) the number in the pie chart indicates the percentage </w:t>
      </w:r>
      <w:r w:rsidRPr="00BF0BFB">
        <w:rPr>
          <w:rFonts w:cs="Times New Roman"/>
          <w:b/>
          <w:bCs/>
          <w:sz w:val="20"/>
          <w:szCs w:val="20"/>
        </w:rPr>
        <w:lastRenderedPageBreak/>
        <w:t>of that region's emissions relative to the global total; and 2) the sectors of the pie chart represent the proportional contribution of six major fire types to the region's total emissions. (b) and (c) show the spatial emission patterns corresponding to the inventory with the highest global total annual emissions (TD-AC-</w:t>
      </w:r>
      <w:proofErr w:type="spellStart"/>
      <w:r w:rsidRPr="00BF0BFB">
        <w:rPr>
          <w:rFonts w:cs="Times New Roman"/>
          <w:b/>
          <w:bCs/>
          <w:sz w:val="20"/>
          <w:szCs w:val="20"/>
        </w:rPr>
        <w:t>LC30</w:t>
      </w:r>
      <w:proofErr w:type="spellEnd"/>
      <w:r w:rsidRPr="00BF0BFB">
        <w:rPr>
          <w:rFonts w:cs="Times New Roman"/>
          <w:b/>
          <w:bCs/>
          <w:sz w:val="20"/>
          <w:szCs w:val="20"/>
        </w:rPr>
        <w:t>) and the lowest global total annual emissions (BU-HC-BC) among the eight inventories over the entire study period, respectively.</w:t>
      </w:r>
    </w:p>
    <w:p w14:paraId="2EFE5DD3" w14:textId="77777777" w:rsidR="00BF0BFB" w:rsidRDefault="00BF0BFB" w:rsidP="00156F66">
      <w:pPr>
        <w:spacing w:before="156" w:after="156"/>
        <w:rPr>
          <w:rFonts w:cs="Times New Roman"/>
          <w:color w:val="000000" w:themeColor="text1"/>
          <w:sz w:val="20"/>
          <w:szCs w:val="20"/>
        </w:rPr>
      </w:pPr>
    </w:p>
    <w:p w14:paraId="277D1030" w14:textId="5DA3F41A" w:rsidR="00BF0BFB" w:rsidRDefault="00BF0BFB" w:rsidP="00156F66">
      <w:pPr>
        <w:spacing w:before="156" w:after="156"/>
        <w:rPr>
          <w:rFonts w:cs="Times New Roman"/>
          <w:color w:val="000000" w:themeColor="text1"/>
          <w:sz w:val="20"/>
          <w:szCs w:val="20"/>
        </w:rPr>
      </w:pPr>
      <w:r>
        <w:rPr>
          <w:rFonts w:cs="Times New Roman"/>
          <w:noProof/>
          <w:color w:val="000000" w:themeColor="text1"/>
          <w:sz w:val="20"/>
          <w:szCs w:val="20"/>
        </w:rPr>
        <w:drawing>
          <wp:inline distT="0" distB="0" distL="0" distR="0" wp14:anchorId="2C9CB827" wp14:editId="5B0F4899">
            <wp:extent cx="5270500" cy="5099050"/>
            <wp:effectExtent l="0" t="0" r="6350" b="6350"/>
            <wp:docPr id="197914515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0500" cy="5099050"/>
                    </a:xfrm>
                    <a:prstGeom prst="rect">
                      <a:avLst/>
                    </a:prstGeom>
                    <a:noFill/>
                    <a:ln>
                      <a:noFill/>
                    </a:ln>
                  </pic:spPr>
                </pic:pic>
              </a:graphicData>
            </a:graphic>
          </wp:inline>
        </w:drawing>
      </w:r>
    </w:p>
    <w:p w14:paraId="0C98F456" w14:textId="08CDA397" w:rsidR="00BF0BFB" w:rsidRPr="00BF0BFB" w:rsidRDefault="00BF0BFB" w:rsidP="00BF0BFB">
      <w:pPr>
        <w:spacing w:before="156" w:after="156" w:line="240" w:lineRule="auto"/>
        <w:rPr>
          <w:rFonts w:cs="Times New Roman"/>
          <w:b/>
          <w:bCs/>
          <w:sz w:val="20"/>
          <w:szCs w:val="20"/>
        </w:rPr>
      </w:pPr>
      <w:r w:rsidRPr="00BF0BFB">
        <w:rPr>
          <w:rFonts w:cs="Times New Roman"/>
          <w:b/>
          <w:bCs/>
          <w:sz w:val="20"/>
          <w:szCs w:val="20"/>
        </w:rPr>
        <w:t>Figure 3. Seasonal cycle and spatial dynamics of global biomass burning CO</w:t>
      </w:r>
      <w:r w:rsidRPr="00821A27">
        <w:rPr>
          <w:rFonts w:cs="Times New Roman"/>
          <w:b/>
          <w:bCs/>
          <w:sz w:val="20"/>
          <w:szCs w:val="20"/>
          <w:vertAlign w:val="subscript"/>
        </w:rPr>
        <w:t>2</w:t>
      </w:r>
      <w:r w:rsidRPr="00BF0BFB">
        <w:rPr>
          <w:rFonts w:cs="Times New Roman"/>
          <w:b/>
          <w:bCs/>
          <w:sz w:val="20"/>
          <w:szCs w:val="20"/>
        </w:rPr>
        <w:t xml:space="preserve"> emissions (mean of 2003–2023). (a) Global monthly emissions partitioned by source region. (b) Monthly emissions for the four primary contributing regions, showing the composition by fire type. (c-f) Spatial distribution of mean monthly emission flux during key seasonal phases: April, July, September, and December.</w:t>
      </w:r>
    </w:p>
    <w:p w14:paraId="5E5959D2" w14:textId="77777777" w:rsidR="00BF0BFB" w:rsidRPr="0087040C" w:rsidRDefault="00BF0BFB" w:rsidP="00156F66">
      <w:pPr>
        <w:spacing w:before="156" w:after="156"/>
        <w:rPr>
          <w:rFonts w:cs="Times New Roman"/>
          <w:color w:val="000000" w:themeColor="text1"/>
          <w:sz w:val="20"/>
          <w:szCs w:val="20"/>
        </w:rPr>
      </w:pPr>
    </w:p>
    <w:p w14:paraId="18DC46ED" w14:textId="67F8223D" w:rsidR="0087040C" w:rsidRDefault="0087040C" w:rsidP="00156F66">
      <w:pPr>
        <w:spacing w:before="156" w:after="156"/>
        <w:rPr>
          <w:rFonts w:cs="Times New Roman"/>
          <w:color w:val="000000" w:themeColor="text1"/>
          <w:sz w:val="20"/>
          <w:szCs w:val="20"/>
        </w:rPr>
      </w:pPr>
      <w:r w:rsidRPr="0087040C">
        <w:rPr>
          <w:rFonts w:cs="Times New Roman" w:hint="eastAsia"/>
          <w:color w:val="000000" w:themeColor="text1"/>
          <w:sz w:val="20"/>
          <w:szCs w:val="20"/>
        </w:rPr>
        <w:t>6.</w:t>
      </w:r>
      <w:r>
        <w:rPr>
          <w:rFonts w:cs="Times New Roman" w:hint="eastAsia"/>
          <w:color w:val="000000" w:themeColor="text1"/>
          <w:sz w:val="20"/>
          <w:szCs w:val="20"/>
        </w:rPr>
        <w:t xml:space="preserve"> </w:t>
      </w:r>
      <w:r w:rsidRPr="0087040C">
        <w:rPr>
          <w:rFonts w:cs="Times New Roman"/>
          <w:color w:val="000000" w:themeColor="text1"/>
          <w:sz w:val="20"/>
          <w:szCs w:val="20"/>
        </w:rPr>
        <w:t>Two extraneous spaces appear between “high” and “biomass”. Please delete them for clean typesetting.</w:t>
      </w:r>
    </w:p>
    <w:p w14:paraId="0CA2C73F" w14:textId="134AD94E" w:rsidR="0087040C" w:rsidRPr="0087040C" w:rsidRDefault="0087040C" w:rsidP="0087040C">
      <w:pPr>
        <w:spacing w:before="156" w:after="156"/>
        <w:rPr>
          <w:rFonts w:cs="Times New Roman"/>
          <w:color w:val="000000" w:themeColor="text1"/>
          <w:sz w:val="20"/>
          <w:szCs w:val="20"/>
        </w:rPr>
      </w:pPr>
      <w:r w:rsidRPr="0087040C">
        <w:rPr>
          <w:rFonts w:cs="Times New Roman"/>
          <w:b/>
          <w:bCs/>
          <w:color w:val="000000" w:themeColor="text1"/>
          <w:sz w:val="20"/>
          <w:szCs w:val="20"/>
        </w:rPr>
        <w:t>Response:</w:t>
      </w:r>
      <w:r w:rsidRPr="0087040C">
        <w:rPr>
          <w:rFonts w:cs="Times New Roman"/>
          <w:color w:val="000000" w:themeColor="text1"/>
          <w:sz w:val="20"/>
          <w:szCs w:val="20"/>
        </w:rPr>
        <w:t xml:space="preserve"> </w:t>
      </w:r>
      <w:r w:rsidR="00BF0BFB" w:rsidRPr="00BF0BFB">
        <w:rPr>
          <w:rFonts w:cs="Times New Roman"/>
          <w:color w:val="000000" w:themeColor="text1"/>
          <w:sz w:val="20"/>
          <w:szCs w:val="20"/>
        </w:rPr>
        <w:t xml:space="preserve">We thank the reviewer for spotting this typographical error. We have removed the extraneous </w:t>
      </w:r>
      <w:r w:rsidR="00BF0BFB" w:rsidRPr="00BF0BFB">
        <w:rPr>
          <w:rFonts w:cs="Times New Roman"/>
          <w:color w:val="000000" w:themeColor="text1"/>
          <w:sz w:val="20"/>
          <w:szCs w:val="20"/>
        </w:rPr>
        <w:lastRenderedPageBreak/>
        <w:t>spaces between "high" and "biomass" to ensure clean and professional typesetting. The sentence now correctly reads: "Importantly, high biomass burning emission uncertainty is not found in traditional biomass burning hotspots."</w:t>
      </w:r>
    </w:p>
    <w:p w14:paraId="5BC269AB" w14:textId="328B44EE" w:rsidR="0087040C" w:rsidRPr="0087040C" w:rsidRDefault="0087040C" w:rsidP="0087040C">
      <w:pPr>
        <w:spacing w:before="156" w:after="156"/>
        <w:rPr>
          <w:rFonts w:cs="Times New Roman"/>
          <w:color w:val="000000" w:themeColor="text1"/>
          <w:sz w:val="20"/>
          <w:szCs w:val="20"/>
        </w:rPr>
      </w:pPr>
      <w:r w:rsidRPr="0087040C">
        <w:rPr>
          <w:rFonts w:cs="Times New Roman"/>
          <w:color w:val="000000" w:themeColor="text1"/>
          <w:sz w:val="20"/>
          <w:szCs w:val="20"/>
        </w:rPr>
        <w:t xml:space="preserve">Please refer to Page </w:t>
      </w:r>
      <w:r w:rsidR="00BF0BFB">
        <w:rPr>
          <w:rFonts w:cs="Times New Roman" w:hint="eastAsia"/>
          <w:color w:val="000000" w:themeColor="text1"/>
          <w:sz w:val="20"/>
          <w:szCs w:val="20"/>
        </w:rPr>
        <w:t>17</w:t>
      </w:r>
      <w:r w:rsidRPr="0087040C">
        <w:rPr>
          <w:rFonts w:cs="Times New Roman"/>
          <w:color w:val="000000" w:themeColor="text1"/>
          <w:sz w:val="20"/>
          <w:szCs w:val="20"/>
        </w:rPr>
        <w:t xml:space="preserve">, Lines </w:t>
      </w:r>
      <w:r w:rsidR="00BF0BFB">
        <w:rPr>
          <w:rFonts w:cs="Times New Roman" w:hint="eastAsia"/>
          <w:color w:val="000000" w:themeColor="text1"/>
          <w:sz w:val="20"/>
          <w:szCs w:val="20"/>
        </w:rPr>
        <w:t>396</w:t>
      </w:r>
      <w:r w:rsidRPr="0087040C">
        <w:rPr>
          <w:rFonts w:cs="Times New Roman"/>
          <w:color w:val="000000" w:themeColor="text1"/>
          <w:sz w:val="20"/>
          <w:szCs w:val="20"/>
        </w:rPr>
        <w:t xml:space="preserve"> and the following is the revised manuscript:</w:t>
      </w:r>
    </w:p>
    <w:p w14:paraId="07C6B4FC" w14:textId="1ECFCF92" w:rsidR="0087040C" w:rsidRDefault="00BF0BFB" w:rsidP="00156F66">
      <w:pPr>
        <w:spacing w:before="156" w:after="156"/>
        <w:rPr>
          <w:rFonts w:cs="Times New Roman"/>
          <w:color w:val="215E99" w:themeColor="text2" w:themeTint="BF"/>
          <w:sz w:val="20"/>
          <w:szCs w:val="20"/>
        </w:rPr>
      </w:pPr>
      <w:r w:rsidRPr="00BF0BFB">
        <w:rPr>
          <w:rFonts w:cs="Times New Roman"/>
          <w:color w:val="215E99" w:themeColor="text2" w:themeTint="BF"/>
          <w:sz w:val="20"/>
          <w:szCs w:val="20"/>
        </w:rPr>
        <w:t>Importantly, high biomass burning emission uncertainty is not found in traditional biomass burning hotspots. Instead, some of the highest uncertainties are found in regions with lower overall emissions.</w:t>
      </w:r>
    </w:p>
    <w:p w14:paraId="4A8DC188" w14:textId="77777777" w:rsidR="00BF0BFB" w:rsidRPr="0087040C" w:rsidRDefault="00BF0BFB" w:rsidP="00156F66">
      <w:pPr>
        <w:spacing w:before="156" w:after="156"/>
        <w:rPr>
          <w:rFonts w:cs="Times New Roman"/>
          <w:color w:val="000000" w:themeColor="text1"/>
          <w:sz w:val="20"/>
          <w:szCs w:val="20"/>
        </w:rPr>
      </w:pPr>
    </w:p>
    <w:p w14:paraId="18FEC9DA" w14:textId="19969B2C" w:rsidR="0087040C" w:rsidRDefault="0087040C" w:rsidP="00156F66">
      <w:pPr>
        <w:spacing w:before="156" w:after="156"/>
        <w:rPr>
          <w:rFonts w:cs="Times New Roman"/>
          <w:color w:val="000000" w:themeColor="text1"/>
          <w:sz w:val="20"/>
          <w:szCs w:val="20"/>
        </w:rPr>
      </w:pPr>
      <w:r w:rsidRPr="0087040C">
        <w:rPr>
          <w:rFonts w:cs="Times New Roman" w:hint="eastAsia"/>
          <w:color w:val="000000" w:themeColor="text1"/>
          <w:sz w:val="20"/>
          <w:szCs w:val="20"/>
        </w:rPr>
        <w:t>7.</w:t>
      </w:r>
      <w:r w:rsidRPr="0087040C">
        <w:t xml:space="preserve"> </w:t>
      </w:r>
      <w:r w:rsidRPr="0087040C">
        <w:rPr>
          <w:rFonts w:cs="Times New Roman"/>
          <w:color w:val="000000" w:themeColor="text1"/>
          <w:sz w:val="20"/>
          <w:szCs w:val="20"/>
        </w:rPr>
        <w:t>Table 3: please do not use the short name for maximum, minimum, and average.</w:t>
      </w:r>
    </w:p>
    <w:p w14:paraId="008A36F2" w14:textId="0AA90B10" w:rsidR="0087040C" w:rsidRPr="0087040C" w:rsidRDefault="0087040C" w:rsidP="0087040C">
      <w:pPr>
        <w:spacing w:before="156" w:after="156"/>
        <w:rPr>
          <w:rFonts w:cs="Times New Roman"/>
          <w:color w:val="000000" w:themeColor="text1"/>
          <w:sz w:val="20"/>
          <w:szCs w:val="20"/>
        </w:rPr>
      </w:pPr>
      <w:r w:rsidRPr="0087040C">
        <w:rPr>
          <w:rFonts w:cs="Times New Roman"/>
          <w:b/>
          <w:bCs/>
          <w:color w:val="000000" w:themeColor="text1"/>
          <w:sz w:val="20"/>
          <w:szCs w:val="20"/>
        </w:rPr>
        <w:t>Response:</w:t>
      </w:r>
      <w:r w:rsidRPr="0087040C">
        <w:rPr>
          <w:rFonts w:cs="Times New Roman"/>
          <w:color w:val="000000" w:themeColor="text1"/>
          <w:sz w:val="20"/>
          <w:szCs w:val="20"/>
        </w:rPr>
        <w:t xml:space="preserve"> </w:t>
      </w:r>
      <w:r w:rsidR="00BF0BFB" w:rsidRPr="00BF0BFB">
        <w:rPr>
          <w:rFonts w:cs="Times New Roman"/>
          <w:color w:val="000000" w:themeColor="text1"/>
          <w:sz w:val="20"/>
          <w:szCs w:val="20"/>
        </w:rPr>
        <w:t>We accept the reviewer’s suggestion to use formal terminology in our data presentation. We have revised the headers in Table 3 to use the full terms "Maximum," "Minimum," and "Average" instead of abbreviations, ensuring clarity and adherence to academic standards.</w:t>
      </w:r>
    </w:p>
    <w:p w14:paraId="6CDA12C3" w14:textId="50B1A7FE" w:rsidR="00BF0BFB" w:rsidRPr="0087040C" w:rsidRDefault="00BF0BFB" w:rsidP="00BF0BFB">
      <w:pPr>
        <w:spacing w:before="156" w:after="156"/>
        <w:rPr>
          <w:rFonts w:cs="Times New Roman"/>
          <w:color w:val="000000" w:themeColor="text1"/>
          <w:sz w:val="20"/>
          <w:szCs w:val="20"/>
        </w:rPr>
      </w:pPr>
      <w:bookmarkStart w:id="14" w:name="_Hlk217744397"/>
      <w:r w:rsidRPr="0087040C">
        <w:rPr>
          <w:rFonts w:cs="Times New Roman"/>
          <w:color w:val="000000" w:themeColor="text1"/>
          <w:sz w:val="20"/>
          <w:szCs w:val="20"/>
        </w:rPr>
        <w:t>Please refer to the following is the revised</w:t>
      </w:r>
      <w:r>
        <w:rPr>
          <w:rFonts w:cs="Times New Roman" w:hint="eastAsia"/>
          <w:color w:val="000000" w:themeColor="text1"/>
          <w:sz w:val="20"/>
          <w:szCs w:val="20"/>
        </w:rPr>
        <w:t xml:space="preserve"> Table 3</w:t>
      </w:r>
      <w:r w:rsidRPr="0087040C">
        <w:rPr>
          <w:rFonts w:cs="Times New Roman"/>
          <w:color w:val="000000" w:themeColor="text1"/>
          <w:sz w:val="20"/>
          <w:szCs w:val="20"/>
        </w:rPr>
        <w:t>:</w:t>
      </w:r>
    </w:p>
    <w:bookmarkEnd w:id="14"/>
    <w:p w14:paraId="55F1A1E8" w14:textId="77777777" w:rsidR="00BF0BFB" w:rsidRPr="00BF0BFB" w:rsidRDefault="00BF0BFB" w:rsidP="00BF0BFB">
      <w:pPr>
        <w:widowControl/>
        <w:spacing w:beforeLines="0" w:before="0" w:afterLines="0" w:after="200" w:line="240" w:lineRule="auto"/>
        <w:jc w:val="center"/>
        <w:rPr>
          <w:rFonts w:eastAsia="Times New Roman" w:cs="Times New Roman"/>
          <w:b/>
          <w:bCs/>
          <w:sz w:val="20"/>
          <w:szCs w:val="20"/>
          <w:lang w:bidi="ar-SA"/>
        </w:rPr>
      </w:pPr>
      <w:r w:rsidRPr="00BF0BFB">
        <w:rPr>
          <w:rFonts w:eastAsia="Times New Roman" w:cs="Times New Roman"/>
          <w:b/>
          <w:bCs/>
          <w:sz w:val="20"/>
          <w:szCs w:val="20"/>
          <w:lang w:bidi="ar-SA"/>
        </w:rPr>
        <w:t>Table 3. Total annual CO</w:t>
      </w:r>
      <w:r w:rsidRPr="00BF0BFB">
        <w:rPr>
          <w:rFonts w:eastAsia="Times New Roman" w:cs="Times New Roman" w:hint="eastAsia"/>
          <w:b/>
          <w:bCs/>
          <w:sz w:val="20"/>
          <w:szCs w:val="20"/>
          <w:vertAlign w:val="subscript"/>
          <w:lang w:bidi="ar-SA"/>
        </w:rPr>
        <w:t>2</w:t>
      </w:r>
      <w:r w:rsidRPr="00BF0BFB">
        <w:rPr>
          <w:rFonts w:eastAsia="Times New Roman" w:cs="Times New Roman"/>
          <w:b/>
          <w:bCs/>
          <w:sz w:val="20"/>
          <w:szCs w:val="20"/>
          <w:lang w:bidi="ar-SA"/>
        </w:rPr>
        <w:t xml:space="preserve"> emissions (Maximum, Minimum, and </w:t>
      </w:r>
      <w:r w:rsidRPr="00BF0BFB">
        <w:rPr>
          <w:rFonts w:eastAsia="等线" w:cs="Times New Roman" w:hint="eastAsia"/>
          <w:b/>
          <w:bCs/>
          <w:sz w:val="20"/>
          <w:szCs w:val="20"/>
          <w:lang w:bidi="ar-SA"/>
        </w:rPr>
        <w:t>A</w:t>
      </w:r>
      <w:r w:rsidRPr="00BF0BFB">
        <w:rPr>
          <w:rFonts w:eastAsia="Times New Roman" w:cs="Times New Roman"/>
          <w:b/>
          <w:bCs/>
          <w:sz w:val="20"/>
          <w:szCs w:val="20"/>
          <w:lang w:bidi="ar-SA"/>
        </w:rPr>
        <w:t xml:space="preserve">verage, unit: </w:t>
      </w:r>
      <w:proofErr w:type="spellStart"/>
      <w:r w:rsidRPr="00BF0BFB">
        <w:rPr>
          <w:rFonts w:eastAsia="Times New Roman" w:cs="Times New Roman"/>
          <w:b/>
          <w:bCs/>
          <w:sz w:val="20"/>
          <w:szCs w:val="20"/>
          <w:lang w:bidi="ar-SA"/>
        </w:rPr>
        <w:t>Tg</w:t>
      </w:r>
      <w:proofErr w:type="spellEnd"/>
      <w:r w:rsidRPr="00BF0BFB">
        <w:rPr>
          <w:rFonts w:eastAsia="Times New Roman" w:cs="Times New Roman"/>
          <w:b/>
          <w:bCs/>
          <w:sz w:val="20"/>
          <w:szCs w:val="20"/>
          <w:lang w:bidi="ar-SA"/>
        </w:rPr>
        <w:t>) for 2003–2023.</w:t>
      </w:r>
    </w:p>
    <w:tbl>
      <w:tblPr>
        <w:tblStyle w:val="af7"/>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4"/>
        <w:gridCol w:w="1111"/>
        <w:gridCol w:w="1014"/>
        <w:gridCol w:w="1014"/>
        <w:gridCol w:w="1014"/>
        <w:gridCol w:w="1111"/>
        <w:gridCol w:w="1014"/>
        <w:gridCol w:w="1014"/>
      </w:tblGrid>
      <w:tr w:rsidR="00BF0BFB" w:rsidRPr="00BF0BFB" w14:paraId="5BB8D918" w14:textId="77777777" w:rsidTr="004A7EDC">
        <w:trPr>
          <w:trHeight w:val="288"/>
        </w:trPr>
        <w:tc>
          <w:tcPr>
            <w:tcW w:w="1040" w:type="dxa"/>
            <w:tcBorders>
              <w:top w:val="single" w:sz="4" w:space="0" w:color="auto"/>
              <w:bottom w:val="single" w:sz="4" w:space="0" w:color="auto"/>
            </w:tcBorders>
            <w:noWrap/>
            <w:hideMark/>
          </w:tcPr>
          <w:p w14:paraId="31DD20E4"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Year</w:t>
            </w:r>
          </w:p>
        </w:tc>
        <w:tc>
          <w:tcPr>
            <w:tcW w:w="1140" w:type="dxa"/>
            <w:tcBorders>
              <w:top w:val="single" w:sz="4" w:space="0" w:color="auto"/>
              <w:bottom w:val="single" w:sz="4" w:space="0" w:color="auto"/>
            </w:tcBorders>
            <w:noWrap/>
            <w:hideMark/>
          </w:tcPr>
          <w:p w14:paraId="0B439BFB"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M</w:t>
            </w:r>
            <w:r w:rsidRPr="00BF0BFB">
              <w:rPr>
                <w:sz w:val="18"/>
                <w:lang w:bidi="ar-SA"/>
              </w:rPr>
              <w:t>aximum</w:t>
            </w:r>
          </w:p>
        </w:tc>
        <w:tc>
          <w:tcPr>
            <w:tcW w:w="1040" w:type="dxa"/>
            <w:tcBorders>
              <w:top w:val="single" w:sz="4" w:space="0" w:color="auto"/>
              <w:bottom w:val="single" w:sz="4" w:space="0" w:color="auto"/>
            </w:tcBorders>
            <w:noWrap/>
            <w:hideMark/>
          </w:tcPr>
          <w:p w14:paraId="3BC394CC" w14:textId="77777777" w:rsidR="00BF0BFB" w:rsidRPr="00BF0BFB" w:rsidRDefault="00BF0BFB" w:rsidP="00BF0BFB">
            <w:pPr>
              <w:widowControl/>
              <w:spacing w:beforeLines="0" w:before="0" w:afterLines="0" w:after="0" w:line="240" w:lineRule="auto"/>
              <w:jc w:val="center"/>
              <w:rPr>
                <w:sz w:val="18"/>
                <w:lang w:bidi="ar-SA"/>
              </w:rPr>
            </w:pPr>
            <w:r w:rsidRPr="00BF0BFB">
              <w:rPr>
                <w:sz w:val="18"/>
                <w:lang w:bidi="ar-SA"/>
              </w:rPr>
              <w:t>Minimum</w:t>
            </w:r>
          </w:p>
        </w:tc>
        <w:tc>
          <w:tcPr>
            <w:tcW w:w="1040" w:type="dxa"/>
            <w:tcBorders>
              <w:top w:val="single" w:sz="4" w:space="0" w:color="auto"/>
              <w:bottom w:val="single" w:sz="4" w:space="0" w:color="auto"/>
              <w:right w:val="single" w:sz="4" w:space="0" w:color="auto"/>
            </w:tcBorders>
            <w:noWrap/>
            <w:hideMark/>
          </w:tcPr>
          <w:p w14:paraId="59301AD1" w14:textId="77777777" w:rsidR="00BF0BFB" w:rsidRPr="00BF0BFB" w:rsidRDefault="00BF0BFB" w:rsidP="00BF0BFB">
            <w:pPr>
              <w:widowControl/>
              <w:spacing w:beforeLines="0" w:before="0" w:afterLines="0" w:after="0" w:line="240" w:lineRule="auto"/>
              <w:jc w:val="center"/>
              <w:rPr>
                <w:sz w:val="18"/>
                <w:lang w:bidi="ar-SA"/>
              </w:rPr>
            </w:pPr>
            <w:r w:rsidRPr="00BF0BFB">
              <w:rPr>
                <w:sz w:val="18"/>
                <w:lang w:bidi="ar-SA"/>
              </w:rPr>
              <w:t>Average</w:t>
            </w:r>
          </w:p>
        </w:tc>
        <w:tc>
          <w:tcPr>
            <w:tcW w:w="1040" w:type="dxa"/>
            <w:tcBorders>
              <w:top w:val="single" w:sz="4" w:space="0" w:color="auto"/>
              <w:left w:val="single" w:sz="4" w:space="0" w:color="auto"/>
              <w:bottom w:val="single" w:sz="4" w:space="0" w:color="auto"/>
            </w:tcBorders>
            <w:noWrap/>
            <w:hideMark/>
          </w:tcPr>
          <w:p w14:paraId="2581B36C" w14:textId="77777777" w:rsidR="00BF0BFB" w:rsidRPr="00BF0BFB" w:rsidRDefault="00BF0BFB" w:rsidP="00BF0BFB">
            <w:pPr>
              <w:widowControl/>
              <w:spacing w:beforeLines="0" w:before="0" w:afterLines="0" w:after="0" w:line="240" w:lineRule="auto"/>
              <w:jc w:val="center"/>
              <w:rPr>
                <w:sz w:val="18"/>
                <w:lang w:bidi="ar-SA"/>
              </w:rPr>
            </w:pPr>
            <w:r w:rsidRPr="00BF0BFB">
              <w:rPr>
                <w:sz w:val="18"/>
                <w:lang w:bidi="ar-SA"/>
              </w:rPr>
              <w:t>Year</w:t>
            </w:r>
          </w:p>
        </w:tc>
        <w:tc>
          <w:tcPr>
            <w:tcW w:w="1140" w:type="dxa"/>
            <w:tcBorders>
              <w:top w:val="single" w:sz="4" w:space="0" w:color="auto"/>
              <w:bottom w:val="single" w:sz="4" w:space="0" w:color="auto"/>
            </w:tcBorders>
            <w:noWrap/>
            <w:hideMark/>
          </w:tcPr>
          <w:p w14:paraId="7BCCF47F" w14:textId="77777777" w:rsidR="00BF0BFB" w:rsidRPr="00BF0BFB" w:rsidRDefault="00BF0BFB" w:rsidP="00BF0BFB">
            <w:pPr>
              <w:widowControl/>
              <w:spacing w:beforeLines="0" w:before="0" w:afterLines="0" w:after="0" w:line="240" w:lineRule="auto"/>
              <w:jc w:val="center"/>
              <w:rPr>
                <w:sz w:val="18"/>
                <w:lang w:bidi="ar-SA"/>
              </w:rPr>
            </w:pPr>
            <w:r w:rsidRPr="00BF0BFB">
              <w:rPr>
                <w:sz w:val="18"/>
                <w:lang w:bidi="ar-SA"/>
              </w:rPr>
              <w:t>Maximum</w:t>
            </w:r>
          </w:p>
        </w:tc>
        <w:tc>
          <w:tcPr>
            <w:tcW w:w="1040" w:type="dxa"/>
            <w:tcBorders>
              <w:top w:val="single" w:sz="4" w:space="0" w:color="auto"/>
              <w:bottom w:val="single" w:sz="4" w:space="0" w:color="auto"/>
            </w:tcBorders>
            <w:noWrap/>
            <w:hideMark/>
          </w:tcPr>
          <w:p w14:paraId="00CCAA2C" w14:textId="77777777" w:rsidR="00BF0BFB" w:rsidRPr="00BF0BFB" w:rsidRDefault="00BF0BFB" w:rsidP="00BF0BFB">
            <w:pPr>
              <w:widowControl/>
              <w:spacing w:beforeLines="0" w:before="0" w:afterLines="0" w:after="0" w:line="240" w:lineRule="auto"/>
              <w:jc w:val="center"/>
              <w:rPr>
                <w:sz w:val="18"/>
                <w:lang w:bidi="ar-SA"/>
              </w:rPr>
            </w:pPr>
            <w:r w:rsidRPr="00BF0BFB">
              <w:rPr>
                <w:sz w:val="18"/>
                <w:lang w:bidi="ar-SA"/>
              </w:rPr>
              <w:t>Minimum</w:t>
            </w:r>
          </w:p>
        </w:tc>
        <w:tc>
          <w:tcPr>
            <w:tcW w:w="1040" w:type="dxa"/>
            <w:tcBorders>
              <w:top w:val="single" w:sz="4" w:space="0" w:color="auto"/>
              <w:bottom w:val="single" w:sz="4" w:space="0" w:color="auto"/>
            </w:tcBorders>
            <w:noWrap/>
            <w:hideMark/>
          </w:tcPr>
          <w:p w14:paraId="46A8FB2D" w14:textId="77777777" w:rsidR="00BF0BFB" w:rsidRPr="00BF0BFB" w:rsidRDefault="00BF0BFB" w:rsidP="00BF0BFB">
            <w:pPr>
              <w:widowControl/>
              <w:spacing w:beforeLines="0" w:before="0" w:afterLines="0" w:after="0" w:line="240" w:lineRule="auto"/>
              <w:jc w:val="center"/>
              <w:rPr>
                <w:sz w:val="18"/>
                <w:lang w:bidi="ar-SA"/>
              </w:rPr>
            </w:pPr>
            <w:r w:rsidRPr="00BF0BFB">
              <w:rPr>
                <w:sz w:val="18"/>
                <w:lang w:bidi="ar-SA"/>
              </w:rPr>
              <w:t>Average</w:t>
            </w:r>
          </w:p>
        </w:tc>
      </w:tr>
      <w:tr w:rsidR="00BF0BFB" w:rsidRPr="00BF0BFB" w14:paraId="799DD20E" w14:textId="77777777" w:rsidTr="004A7EDC">
        <w:trPr>
          <w:trHeight w:val="288"/>
        </w:trPr>
        <w:tc>
          <w:tcPr>
            <w:tcW w:w="1040" w:type="dxa"/>
            <w:tcBorders>
              <w:top w:val="single" w:sz="4" w:space="0" w:color="auto"/>
            </w:tcBorders>
            <w:noWrap/>
            <w:hideMark/>
          </w:tcPr>
          <w:p w14:paraId="5D6D5AAA"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2003</w:t>
            </w:r>
          </w:p>
        </w:tc>
        <w:tc>
          <w:tcPr>
            <w:tcW w:w="1140" w:type="dxa"/>
            <w:tcBorders>
              <w:top w:val="single" w:sz="4" w:space="0" w:color="auto"/>
            </w:tcBorders>
            <w:noWrap/>
            <w:hideMark/>
          </w:tcPr>
          <w:p w14:paraId="473C09A5"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10882.90</w:t>
            </w:r>
          </w:p>
        </w:tc>
        <w:tc>
          <w:tcPr>
            <w:tcW w:w="1040" w:type="dxa"/>
            <w:tcBorders>
              <w:top w:val="single" w:sz="4" w:space="0" w:color="auto"/>
            </w:tcBorders>
            <w:noWrap/>
            <w:hideMark/>
          </w:tcPr>
          <w:p w14:paraId="654AC945"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4487.65</w:t>
            </w:r>
          </w:p>
        </w:tc>
        <w:tc>
          <w:tcPr>
            <w:tcW w:w="1040" w:type="dxa"/>
            <w:tcBorders>
              <w:top w:val="single" w:sz="4" w:space="0" w:color="auto"/>
              <w:right w:val="single" w:sz="4" w:space="0" w:color="auto"/>
            </w:tcBorders>
            <w:noWrap/>
            <w:hideMark/>
          </w:tcPr>
          <w:p w14:paraId="01183D1A"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7673.68</w:t>
            </w:r>
          </w:p>
        </w:tc>
        <w:tc>
          <w:tcPr>
            <w:tcW w:w="1040" w:type="dxa"/>
            <w:tcBorders>
              <w:top w:val="single" w:sz="4" w:space="0" w:color="auto"/>
              <w:left w:val="single" w:sz="4" w:space="0" w:color="auto"/>
            </w:tcBorders>
            <w:noWrap/>
            <w:hideMark/>
          </w:tcPr>
          <w:p w14:paraId="19ECCA8A"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2014</w:t>
            </w:r>
          </w:p>
        </w:tc>
        <w:tc>
          <w:tcPr>
            <w:tcW w:w="1140" w:type="dxa"/>
            <w:tcBorders>
              <w:top w:val="single" w:sz="4" w:space="0" w:color="auto"/>
            </w:tcBorders>
            <w:noWrap/>
            <w:hideMark/>
          </w:tcPr>
          <w:p w14:paraId="2C22DD89"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9258.62</w:t>
            </w:r>
          </w:p>
        </w:tc>
        <w:tc>
          <w:tcPr>
            <w:tcW w:w="1040" w:type="dxa"/>
            <w:tcBorders>
              <w:top w:val="single" w:sz="4" w:space="0" w:color="auto"/>
            </w:tcBorders>
            <w:noWrap/>
            <w:hideMark/>
          </w:tcPr>
          <w:p w14:paraId="5099A819"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4489.87</w:t>
            </w:r>
          </w:p>
        </w:tc>
        <w:tc>
          <w:tcPr>
            <w:tcW w:w="1040" w:type="dxa"/>
            <w:tcBorders>
              <w:top w:val="single" w:sz="4" w:space="0" w:color="auto"/>
            </w:tcBorders>
            <w:noWrap/>
            <w:hideMark/>
          </w:tcPr>
          <w:p w14:paraId="31D2A8AD"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7265.29</w:t>
            </w:r>
          </w:p>
        </w:tc>
      </w:tr>
      <w:tr w:rsidR="00BF0BFB" w:rsidRPr="00BF0BFB" w14:paraId="71275EED" w14:textId="77777777" w:rsidTr="004A7EDC">
        <w:trPr>
          <w:trHeight w:val="288"/>
        </w:trPr>
        <w:tc>
          <w:tcPr>
            <w:tcW w:w="1040" w:type="dxa"/>
            <w:noWrap/>
            <w:hideMark/>
          </w:tcPr>
          <w:p w14:paraId="369061CA"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2004</w:t>
            </w:r>
          </w:p>
        </w:tc>
        <w:tc>
          <w:tcPr>
            <w:tcW w:w="1140" w:type="dxa"/>
            <w:noWrap/>
            <w:hideMark/>
          </w:tcPr>
          <w:p w14:paraId="5C046237"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10842.08</w:t>
            </w:r>
          </w:p>
        </w:tc>
        <w:tc>
          <w:tcPr>
            <w:tcW w:w="1040" w:type="dxa"/>
            <w:noWrap/>
            <w:hideMark/>
          </w:tcPr>
          <w:p w14:paraId="2F38BE09"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4271.50</w:t>
            </w:r>
          </w:p>
        </w:tc>
        <w:tc>
          <w:tcPr>
            <w:tcW w:w="1040" w:type="dxa"/>
            <w:tcBorders>
              <w:right w:val="single" w:sz="4" w:space="0" w:color="auto"/>
            </w:tcBorders>
            <w:noWrap/>
            <w:hideMark/>
          </w:tcPr>
          <w:p w14:paraId="2EDF21E2"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7522.16</w:t>
            </w:r>
          </w:p>
        </w:tc>
        <w:tc>
          <w:tcPr>
            <w:tcW w:w="1040" w:type="dxa"/>
            <w:tcBorders>
              <w:left w:val="single" w:sz="4" w:space="0" w:color="auto"/>
            </w:tcBorders>
            <w:noWrap/>
            <w:hideMark/>
          </w:tcPr>
          <w:p w14:paraId="4123A0EF"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2015</w:t>
            </w:r>
          </w:p>
        </w:tc>
        <w:tc>
          <w:tcPr>
            <w:tcW w:w="1140" w:type="dxa"/>
            <w:noWrap/>
            <w:hideMark/>
          </w:tcPr>
          <w:p w14:paraId="0EE1D5C2"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9688.74</w:t>
            </w:r>
          </w:p>
        </w:tc>
        <w:tc>
          <w:tcPr>
            <w:tcW w:w="1040" w:type="dxa"/>
            <w:noWrap/>
            <w:hideMark/>
          </w:tcPr>
          <w:p w14:paraId="08D21A4B"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5035.46</w:t>
            </w:r>
          </w:p>
        </w:tc>
        <w:tc>
          <w:tcPr>
            <w:tcW w:w="1040" w:type="dxa"/>
            <w:noWrap/>
            <w:hideMark/>
          </w:tcPr>
          <w:p w14:paraId="7F47662A"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7701.46</w:t>
            </w:r>
          </w:p>
        </w:tc>
      </w:tr>
      <w:tr w:rsidR="00BF0BFB" w:rsidRPr="00BF0BFB" w14:paraId="0D62E64B" w14:textId="77777777" w:rsidTr="004A7EDC">
        <w:trPr>
          <w:trHeight w:val="288"/>
        </w:trPr>
        <w:tc>
          <w:tcPr>
            <w:tcW w:w="1040" w:type="dxa"/>
            <w:noWrap/>
            <w:hideMark/>
          </w:tcPr>
          <w:p w14:paraId="0E71AC1A"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2005</w:t>
            </w:r>
          </w:p>
        </w:tc>
        <w:tc>
          <w:tcPr>
            <w:tcW w:w="1140" w:type="dxa"/>
            <w:noWrap/>
            <w:hideMark/>
          </w:tcPr>
          <w:p w14:paraId="39E41A9E"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10391.58</w:t>
            </w:r>
          </w:p>
        </w:tc>
        <w:tc>
          <w:tcPr>
            <w:tcW w:w="1040" w:type="dxa"/>
            <w:noWrap/>
            <w:hideMark/>
          </w:tcPr>
          <w:p w14:paraId="7EDDE993"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4350.62</w:t>
            </w:r>
          </w:p>
        </w:tc>
        <w:tc>
          <w:tcPr>
            <w:tcW w:w="1040" w:type="dxa"/>
            <w:tcBorders>
              <w:right w:val="single" w:sz="4" w:space="0" w:color="auto"/>
            </w:tcBorders>
            <w:noWrap/>
            <w:hideMark/>
          </w:tcPr>
          <w:p w14:paraId="2256A5DD"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7328.15</w:t>
            </w:r>
          </w:p>
        </w:tc>
        <w:tc>
          <w:tcPr>
            <w:tcW w:w="1040" w:type="dxa"/>
            <w:tcBorders>
              <w:left w:val="single" w:sz="4" w:space="0" w:color="auto"/>
            </w:tcBorders>
            <w:noWrap/>
            <w:hideMark/>
          </w:tcPr>
          <w:p w14:paraId="7125D3B1"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2016</w:t>
            </w:r>
          </w:p>
        </w:tc>
        <w:tc>
          <w:tcPr>
            <w:tcW w:w="1140" w:type="dxa"/>
            <w:noWrap/>
            <w:hideMark/>
          </w:tcPr>
          <w:p w14:paraId="53372748"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8476.61</w:t>
            </w:r>
          </w:p>
        </w:tc>
        <w:tc>
          <w:tcPr>
            <w:tcW w:w="1040" w:type="dxa"/>
            <w:noWrap/>
            <w:hideMark/>
          </w:tcPr>
          <w:p w14:paraId="05EAEA46"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4059.68</w:t>
            </w:r>
          </w:p>
        </w:tc>
        <w:tc>
          <w:tcPr>
            <w:tcW w:w="1040" w:type="dxa"/>
            <w:noWrap/>
            <w:hideMark/>
          </w:tcPr>
          <w:p w14:paraId="202A2F3C"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6789.30</w:t>
            </w:r>
          </w:p>
        </w:tc>
      </w:tr>
      <w:tr w:rsidR="00BF0BFB" w:rsidRPr="00BF0BFB" w14:paraId="2D305AB1" w14:textId="77777777" w:rsidTr="004A7EDC">
        <w:trPr>
          <w:trHeight w:val="288"/>
        </w:trPr>
        <w:tc>
          <w:tcPr>
            <w:tcW w:w="1040" w:type="dxa"/>
            <w:noWrap/>
            <w:hideMark/>
          </w:tcPr>
          <w:p w14:paraId="26298864"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2006</w:t>
            </w:r>
          </w:p>
        </w:tc>
        <w:tc>
          <w:tcPr>
            <w:tcW w:w="1140" w:type="dxa"/>
            <w:noWrap/>
            <w:hideMark/>
          </w:tcPr>
          <w:p w14:paraId="22622033"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9663.37</w:t>
            </w:r>
          </w:p>
        </w:tc>
        <w:tc>
          <w:tcPr>
            <w:tcW w:w="1040" w:type="dxa"/>
            <w:noWrap/>
            <w:hideMark/>
          </w:tcPr>
          <w:p w14:paraId="2979FD06"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4160.83</w:t>
            </w:r>
          </w:p>
        </w:tc>
        <w:tc>
          <w:tcPr>
            <w:tcW w:w="1040" w:type="dxa"/>
            <w:tcBorders>
              <w:right w:val="single" w:sz="4" w:space="0" w:color="auto"/>
            </w:tcBorders>
            <w:noWrap/>
            <w:hideMark/>
          </w:tcPr>
          <w:p w14:paraId="47ECA75F"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7077.83</w:t>
            </w:r>
          </w:p>
        </w:tc>
        <w:tc>
          <w:tcPr>
            <w:tcW w:w="1040" w:type="dxa"/>
            <w:tcBorders>
              <w:left w:val="single" w:sz="4" w:space="0" w:color="auto"/>
            </w:tcBorders>
            <w:noWrap/>
            <w:hideMark/>
          </w:tcPr>
          <w:p w14:paraId="5CDDB955"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2017</w:t>
            </w:r>
          </w:p>
        </w:tc>
        <w:tc>
          <w:tcPr>
            <w:tcW w:w="1140" w:type="dxa"/>
            <w:noWrap/>
            <w:hideMark/>
          </w:tcPr>
          <w:p w14:paraId="411BD935"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9250.64</w:t>
            </w:r>
          </w:p>
        </w:tc>
        <w:tc>
          <w:tcPr>
            <w:tcW w:w="1040" w:type="dxa"/>
            <w:noWrap/>
            <w:hideMark/>
          </w:tcPr>
          <w:p w14:paraId="64688C3C"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4436.15</w:t>
            </w:r>
          </w:p>
        </w:tc>
        <w:tc>
          <w:tcPr>
            <w:tcW w:w="1040" w:type="dxa"/>
            <w:noWrap/>
            <w:hideMark/>
          </w:tcPr>
          <w:p w14:paraId="19D8CCAA"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7042.77</w:t>
            </w:r>
          </w:p>
        </w:tc>
      </w:tr>
      <w:tr w:rsidR="00BF0BFB" w:rsidRPr="00BF0BFB" w14:paraId="7BCED1BE" w14:textId="77777777" w:rsidTr="004A7EDC">
        <w:trPr>
          <w:trHeight w:val="288"/>
        </w:trPr>
        <w:tc>
          <w:tcPr>
            <w:tcW w:w="1040" w:type="dxa"/>
            <w:noWrap/>
            <w:hideMark/>
          </w:tcPr>
          <w:p w14:paraId="33141656"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2007</w:t>
            </w:r>
          </w:p>
        </w:tc>
        <w:tc>
          <w:tcPr>
            <w:tcW w:w="1140" w:type="dxa"/>
            <w:noWrap/>
            <w:hideMark/>
          </w:tcPr>
          <w:p w14:paraId="24A9B982"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11063.35</w:t>
            </w:r>
          </w:p>
        </w:tc>
        <w:tc>
          <w:tcPr>
            <w:tcW w:w="1040" w:type="dxa"/>
            <w:noWrap/>
            <w:hideMark/>
          </w:tcPr>
          <w:p w14:paraId="1E3E8905"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4641.22</w:t>
            </w:r>
          </w:p>
        </w:tc>
        <w:tc>
          <w:tcPr>
            <w:tcW w:w="1040" w:type="dxa"/>
            <w:tcBorders>
              <w:right w:val="single" w:sz="4" w:space="0" w:color="auto"/>
            </w:tcBorders>
            <w:noWrap/>
            <w:hideMark/>
          </w:tcPr>
          <w:p w14:paraId="601B41A8"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7751.48</w:t>
            </w:r>
          </w:p>
        </w:tc>
        <w:tc>
          <w:tcPr>
            <w:tcW w:w="1040" w:type="dxa"/>
            <w:tcBorders>
              <w:left w:val="single" w:sz="4" w:space="0" w:color="auto"/>
            </w:tcBorders>
            <w:noWrap/>
            <w:hideMark/>
          </w:tcPr>
          <w:p w14:paraId="10B2B6C1"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2018</w:t>
            </w:r>
          </w:p>
        </w:tc>
        <w:tc>
          <w:tcPr>
            <w:tcW w:w="1140" w:type="dxa"/>
            <w:noWrap/>
            <w:hideMark/>
          </w:tcPr>
          <w:p w14:paraId="3319D318"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8727.34</w:t>
            </w:r>
          </w:p>
        </w:tc>
        <w:tc>
          <w:tcPr>
            <w:tcW w:w="1040" w:type="dxa"/>
            <w:noWrap/>
            <w:hideMark/>
          </w:tcPr>
          <w:p w14:paraId="00C4166A"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4160.93</w:t>
            </w:r>
          </w:p>
        </w:tc>
        <w:tc>
          <w:tcPr>
            <w:tcW w:w="1040" w:type="dxa"/>
            <w:noWrap/>
            <w:hideMark/>
          </w:tcPr>
          <w:p w14:paraId="7D9C9A0D"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6911.22</w:t>
            </w:r>
          </w:p>
        </w:tc>
      </w:tr>
      <w:tr w:rsidR="00BF0BFB" w:rsidRPr="00BF0BFB" w14:paraId="76822A47" w14:textId="77777777" w:rsidTr="004A7EDC">
        <w:trPr>
          <w:trHeight w:val="288"/>
        </w:trPr>
        <w:tc>
          <w:tcPr>
            <w:tcW w:w="1040" w:type="dxa"/>
            <w:noWrap/>
            <w:hideMark/>
          </w:tcPr>
          <w:p w14:paraId="4851567E"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2008</w:t>
            </w:r>
          </w:p>
        </w:tc>
        <w:tc>
          <w:tcPr>
            <w:tcW w:w="1140" w:type="dxa"/>
            <w:noWrap/>
            <w:hideMark/>
          </w:tcPr>
          <w:p w14:paraId="736FEBF9"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9725.05</w:t>
            </w:r>
          </w:p>
        </w:tc>
        <w:tc>
          <w:tcPr>
            <w:tcW w:w="1040" w:type="dxa"/>
            <w:noWrap/>
            <w:hideMark/>
          </w:tcPr>
          <w:p w14:paraId="27BCA53F"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4030.68</w:t>
            </w:r>
          </w:p>
        </w:tc>
        <w:tc>
          <w:tcPr>
            <w:tcW w:w="1040" w:type="dxa"/>
            <w:tcBorders>
              <w:right w:val="single" w:sz="4" w:space="0" w:color="auto"/>
            </w:tcBorders>
            <w:noWrap/>
            <w:hideMark/>
          </w:tcPr>
          <w:p w14:paraId="0B1C2A0C"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6925.95</w:t>
            </w:r>
          </w:p>
        </w:tc>
        <w:tc>
          <w:tcPr>
            <w:tcW w:w="1040" w:type="dxa"/>
            <w:tcBorders>
              <w:left w:val="single" w:sz="4" w:space="0" w:color="auto"/>
            </w:tcBorders>
            <w:noWrap/>
            <w:hideMark/>
          </w:tcPr>
          <w:p w14:paraId="5285BEC3"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2019</w:t>
            </w:r>
          </w:p>
        </w:tc>
        <w:tc>
          <w:tcPr>
            <w:tcW w:w="1140" w:type="dxa"/>
            <w:noWrap/>
            <w:hideMark/>
          </w:tcPr>
          <w:p w14:paraId="6FF425B7"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9747.60</w:t>
            </w:r>
          </w:p>
        </w:tc>
        <w:tc>
          <w:tcPr>
            <w:tcW w:w="1040" w:type="dxa"/>
            <w:noWrap/>
            <w:hideMark/>
          </w:tcPr>
          <w:p w14:paraId="0457C662"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4971.22</w:t>
            </w:r>
          </w:p>
        </w:tc>
        <w:tc>
          <w:tcPr>
            <w:tcW w:w="1040" w:type="dxa"/>
            <w:noWrap/>
            <w:hideMark/>
          </w:tcPr>
          <w:p w14:paraId="36625C78"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7657.46</w:t>
            </w:r>
          </w:p>
        </w:tc>
      </w:tr>
      <w:tr w:rsidR="00BF0BFB" w:rsidRPr="00BF0BFB" w14:paraId="311D5ACB" w14:textId="77777777" w:rsidTr="004A7EDC">
        <w:trPr>
          <w:trHeight w:val="288"/>
        </w:trPr>
        <w:tc>
          <w:tcPr>
            <w:tcW w:w="1040" w:type="dxa"/>
            <w:noWrap/>
            <w:hideMark/>
          </w:tcPr>
          <w:p w14:paraId="7A9CD8F4"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2009</w:t>
            </w:r>
          </w:p>
        </w:tc>
        <w:tc>
          <w:tcPr>
            <w:tcW w:w="1140" w:type="dxa"/>
            <w:noWrap/>
            <w:hideMark/>
          </w:tcPr>
          <w:p w14:paraId="6E3C0FE2"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8661.02</w:t>
            </w:r>
          </w:p>
        </w:tc>
        <w:tc>
          <w:tcPr>
            <w:tcW w:w="1040" w:type="dxa"/>
            <w:noWrap/>
            <w:hideMark/>
          </w:tcPr>
          <w:p w14:paraId="113A4C10"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3930.36</w:t>
            </w:r>
          </w:p>
        </w:tc>
        <w:tc>
          <w:tcPr>
            <w:tcW w:w="1040" w:type="dxa"/>
            <w:tcBorders>
              <w:right w:val="single" w:sz="4" w:space="0" w:color="auto"/>
            </w:tcBorders>
            <w:noWrap/>
            <w:hideMark/>
          </w:tcPr>
          <w:p w14:paraId="0484B824"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6669.83</w:t>
            </w:r>
          </w:p>
        </w:tc>
        <w:tc>
          <w:tcPr>
            <w:tcW w:w="1040" w:type="dxa"/>
            <w:tcBorders>
              <w:left w:val="single" w:sz="4" w:space="0" w:color="auto"/>
            </w:tcBorders>
            <w:noWrap/>
            <w:hideMark/>
          </w:tcPr>
          <w:p w14:paraId="7298E4A3"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2020</w:t>
            </w:r>
          </w:p>
        </w:tc>
        <w:tc>
          <w:tcPr>
            <w:tcW w:w="1140" w:type="dxa"/>
            <w:noWrap/>
            <w:hideMark/>
          </w:tcPr>
          <w:p w14:paraId="6E883DD1"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9295.62</w:t>
            </w:r>
          </w:p>
        </w:tc>
        <w:tc>
          <w:tcPr>
            <w:tcW w:w="1040" w:type="dxa"/>
            <w:noWrap/>
            <w:hideMark/>
          </w:tcPr>
          <w:p w14:paraId="7BB87DD2"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4375.98</w:t>
            </w:r>
          </w:p>
        </w:tc>
        <w:tc>
          <w:tcPr>
            <w:tcW w:w="1040" w:type="dxa"/>
            <w:noWrap/>
            <w:hideMark/>
          </w:tcPr>
          <w:p w14:paraId="6FBFEE14"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7249.50</w:t>
            </w:r>
          </w:p>
        </w:tc>
      </w:tr>
      <w:tr w:rsidR="00BF0BFB" w:rsidRPr="00BF0BFB" w14:paraId="401C7CD2" w14:textId="77777777" w:rsidTr="004A7EDC">
        <w:trPr>
          <w:trHeight w:val="288"/>
        </w:trPr>
        <w:tc>
          <w:tcPr>
            <w:tcW w:w="1040" w:type="dxa"/>
            <w:noWrap/>
            <w:hideMark/>
          </w:tcPr>
          <w:p w14:paraId="4E30FC61"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2010</w:t>
            </w:r>
          </w:p>
        </w:tc>
        <w:tc>
          <w:tcPr>
            <w:tcW w:w="1140" w:type="dxa"/>
            <w:noWrap/>
            <w:hideMark/>
          </w:tcPr>
          <w:p w14:paraId="484EFEE3"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10253.23</w:t>
            </w:r>
          </w:p>
        </w:tc>
        <w:tc>
          <w:tcPr>
            <w:tcW w:w="1040" w:type="dxa"/>
            <w:noWrap/>
            <w:hideMark/>
          </w:tcPr>
          <w:p w14:paraId="199528A7"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4748.50</w:t>
            </w:r>
          </w:p>
        </w:tc>
        <w:tc>
          <w:tcPr>
            <w:tcW w:w="1040" w:type="dxa"/>
            <w:tcBorders>
              <w:right w:val="single" w:sz="4" w:space="0" w:color="auto"/>
            </w:tcBorders>
            <w:noWrap/>
            <w:hideMark/>
          </w:tcPr>
          <w:p w14:paraId="0A454E83"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7554.59</w:t>
            </w:r>
          </w:p>
        </w:tc>
        <w:tc>
          <w:tcPr>
            <w:tcW w:w="1040" w:type="dxa"/>
            <w:tcBorders>
              <w:left w:val="single" w:sz="4" w:space="0" w:color="auto"/>
            </w:tcBorders>
            <w:noWrap/>
            <w:hideMark/>
          </w:tcPr>
          <w:p w14:paraId="1FE1A1C7"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2021</w:t>
            </w:r>
          </w:p>
        </w:tc>
        <w:tc>
          <w:tcPr>
            <w:tcW w:w="1140" w:type="dxa"/>
            <w:noWrap/>
            <w:hideMark/>
          </w:tcPr>
          <w:p w14:paraId="2E080CE3"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10696.69</w:t>
            </w:r>
          </w:p>
        </w:tc>
        <w:tc>
          <w:tcPr>
            <w:tcW w:w="1040" w:type="dxa"/>
            <w:noWrap/>
            <w:hideMark/>
          </w:tcPr>
          <w:p w14:paraId="05E31FC8"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4767.44</w:t>
            </w:r>
          </w:p>
        </w:tc>
        <w:tc>
          <w:tcPr>
            <w:tcW w:w="1040" w:type="dxa"/>
            <w:noWrap/>
            <w:hideMark/>
          </w:tcPr>
          <w:p w14:paraId="754701C9"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7705.11</w:t>
            </w:r>
          </w:p>
        </w:tc>
      </w:tr>
      <w:tr w:rsidR="00BF0BFB" w:rsidRPr="00BF0BFB" w14:paraId="1E3E3863" w14:textId="77777777" w:rsidTr="004A7EDC">
        <w:trPr>
          <w:trHeight w:val="288"/>
        </w:trPr>
        <w:tc>
          <w:tcPr>
            <w:tcW w:w="1040" w:type="dxa"/>
            <w:noWrap/>
            <w:hideMark/>
          </w:tcPr>
          <w:p w14:paraId="1FED676C"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2011</w:t>
            </w:r>
          </w:p>
        </w:tc>
        <w:tc>
          <w:tcPr>
            <w:tcW w:w="1140" w:type="dxa"/>
            <w:noWrap/>
            <w:hideMark/>
          </w:tcPr>
          <w:p w14:paraId="71A5599F"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9653.73</w:t>
            </w:r>
          </w:p>
        </w:tc>
        <w:tc>
          <w:tcPr>
            <w:tcW w:w="1040" w:type="dxa"/>
            <w:noWrap/>
            <w:hideMark/>
          </w:tcPr>
          <w:p w14:paraId="6F6C1C39"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4119.74</w:t>
            </w:r>
          </w:p>
        </w:tc>
        <w:tc>
          <w:tcPr>
            <w:tcW w:w="1040" w:type="dxa"/>
            <w:tcBorders>
              <w:right w:val="single" w:sz="4" w:space="0" w:color="auto"/>
            </w:tcBorders>
            <w:noWrap/>
            <w:hideMark/>
          </w:tcPr>
          <w:p w14:paraId="2183B377"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7205.26</w:t>
            </w:r>
          </w:p>
        </w:tc>
        <w:tc>
          <w:tcPr>
            <w:tcW w:w="1040" w:type="dxa"/>
            <w:tcBorders>
              <w:left w:val="single" w:sz="4" w:space="0" w:color="auto"/>
            </w:tcBorders>
            <w:noWrap/>
            <w:hideMark/>
          </w:tcPr>
          <w:p w14:paraId="5488A057"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2022</w:t>
            </w:r>
          </w:p>
        </w:tc>
        <w:tc>
          <w:tcPr>
            <w:tcW w:w="1140" w:type="dxa"/>
            <w:noWrap/>
            <w:hideMark/>
          </w:tcPr>
          <w:p w14:paraId="187C07B8"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7289.55</w:t>
            </w:r>
          </w:p>
        </w:tc>
        <w:tc>
          <w:tcPr>
            <w:tcW w:w="1040" w:type="dxa"/>
            <w:noWrap/>
            <w:hideMark/>
          </w:tcPr>
          <w:p w14:paraId="6940D6B6"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3348.45</w:t>
            </w:r>
          </w:p>
        </w:tc>
        <w:tc>
          <w:tcPr>
            <w:tcW w:w="1040" w:type="dxa"/>
            <w:noWrap/>
            <w:hideMark/>
          </w:tcPr>
          <w:p w14:paraId="7779FF25"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6442.83</w:t>
            </w:r>
          </w:p>
        </w:tc>
      </w:tr>
      <w:tr w:rsidR="00BF0BFB" w:rsidRPr="00BF0BFB" w14:paraId="47277F04" w14:textId="77777777" w:rsidTr="004A7EDC">
        <w:trPr>
          <w:trHeight w:val="288"/>
        </w:trPr>
        <w:tc>
          <w:tcPr>
            <w:tcW w:w="1040" w:type="dxa"/>
            <w:noWrap/>
            <w:hideMark/>
          </w:tcPr>
          <w:p w14:paraId="5405F0E0"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2012</w:t>
            </w:r>
          </w:p>
        </w:tc>
        <w:tc>
          <w:tcPr>
            <w:tcW w:w="1140" w:type="dxa"/>
            <w:noWrap/>
            <w:hideMark/>
          </w:tcPr>
          <w:p w14:paraId="02F6A316"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10537.30</w:t>
            </w:r>
          </w:p>
        </w:tc>
        <w:tc>
          <w:tcPr>
            <w:tcW w:w="1040" w:type="dxa"/>
            <w:noWrap/>
            <w:hideMark/>
          </w:tcPr>
          <w:p w14:paraId="4ADB3113"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4721.32</w:t>
            </w:r>
          </w:p>
        </w:tc>
        <w:tc>
          <w:tcPr>
            <w:tcW w:w="1040" w:type="dxa"/>
            <w:tcBorders>
              <w:right w:val="single" w:sz="4" w:space="0" w:color="auto"/>
            </w:tcBorders>
            <w:noWrap/>
            <w:hideMark/>
          </w:tcPr>
          <w:p w14:paraId="55F67494"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7895.63</w:t>
            </w:r>
          </w:p>
        </w:tc>
        <w:tc>
          <w:tcPr>
            <w:tcW w:w="1040" w:type="dxa"/>
            <w:tcBorders>
              <w:left w:val="single" w:sz="4" w:space="0" w:color="auto"/>
            </w:tcBorders>
            <w:noWrap/>
            <w:hideMark/>
          </w:tcPr>
          <w:p w14:paraId="6AE337F7"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2023</w:t>
            </w:r>
          </w:p>
        </w:tc>
        <w:tc>
          <w:tcPr>
            <w:tcW w:w="1140" w:type="dxa"/>
            <w:noWrap/>
            <w:hideMark/>
          </w:tcPr>
          <w:p w14:paraId="29E6F5A5"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10527.88</w:t>
            </w:r>
          </w:p>
        </w:tc>
        <w:tc>
          <w:tcPr>
            <w:tcW w:w="1040" w:type="dxa"/>
            <w:noWrap/>
            <w:hideMark/>
          </w:tcPr>
          <w:p w14:paraId="1C6A789C"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5206.72</w:t>
            </w:r>
          </w:p>
        </w:tc>
        <w:tc>
          <w:tcPr>
            <w:tcW w:w="1040" w:type="dxa"/>
            <w:noWrap/>
            <w:hideMark/>
          </w:tcPr>
          <w:p w14:paraId="3BA1BEF5"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8506.96</w:t>
            </w:r>
          </w:p>
        </w:tc>
      </w:tr>
      <w:tr w:rsidR="00BF0BFB" w:rsidRPr="00BF0BFB" w14:paraId="1013BB6B" w14:textId="77777777" w:rsidTr="004A7EDC">
        <w:trPr>
          <w:trHeight w:val="288"/>
        </w:trPr>
        <w:tc>
          <w:tcPr>
            <w:tcW w:w="1040" w:type="dxa"/>
            <w:noWrap/>
            <w:hideMark/>
          </w:tcPr>
          <w:p w14:paraId="51409744"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2013</w:t>
            </w:r>
          </w:p>
        </w:tc>
        <w:tc>
          <w:tcPr>
            <w:tcW w:w="1140" w:type="dxa"/>
            <w:noWrap/>
            <w:hideMark/>
          </w:tcPr>
          <w:p w14:paraId="35F7EB3D"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8161.82</w:t>
            </w:r>
          </w:p>
        </w:tc>
        <w:tc>
          <w:tcPr>
            <w:tcW w:w="1040" w:type="dxa"/>
            <w:noWrap/>
            <w:hideMark/>
          </w:tcPr>
          <w:p w14:paraId="03084D58"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4087.36</w:t>
            </w:r>
          </w:p>
        </w:tc>
        <w:tc>
          <w:tcPr>
            <w:tcW w:w="1040" w:type="dxa"/>
            <w:tcBorders>
              <w:right w:val="single" w:sz="4" w:space="0" w:color="auto"/>
            </w:tcBorders>
            <w:noWrap/>
            <w:hideMark/>
          </w:tcPr>
          <w:p w14:paraId="708BD5B3"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6489.87</w:t>
            </w:r>
          </w:p>
        </w:tc>
        <w:tc>
          <w:tcPr>
            <w:tcW w:w="1040" w:type="dxa"/>
            <w:tcBorders>
              <w:left w:val="single" w:sz="4" w:space="0" w:color="auto"/>
              <w:bottom w:val="single" w:sz="4" w:space="0" w:color="auto"/>
            </w:tcBorders>
            <w:noWrap/>
            <w:hideMark/>
          </w:tcPr>
          <w:p w14:paraId="3F921EBA" w14:textId="77777777" w:rsidR="00BF0BFB" w:rsidRPr="00BF0BFB" w:rsidRDefault="00BF0BFB" w:rsidP="00BF0BFB">
            <w:pPr>
              <w:widowControl/>
              <w:spacing w:beforeLines="0" w:before="0" w:afterLines="0" w:after="0" w:line="240" w:lineRule="auto"/>
              <w:jc w:val="center"/>
              <w:rPr>
                <w:sz w:val="18"/>
                <w:lang w:bidi="ar-SA"/>
              </w:rPr>
            </w:pPr>
            <w:r w:rsidRPr="00BF0BFB">
              <w:rPr>
                <w:sz w:val="18"/>
                <w:lang w:bidi="ar-SA"/>
              </w:rPr>
              <w:t>M</w:t>
            </w:r>
            <w:r w:rsidRPr="00BF0BFB">
              <w:rPr>
                <w:rFonts w:hint="eastAsia"/>
                <w:sz w:val="18"/>
                <w:lang w:bidi="ar-SA"/>
              </w:rPr>
              <w:t>ean</w:t>
            </w:r>
          </w:p>
        </w:tc>
        <w:tc>
          <w:tcPr>
            <w:tcW w:w="1140" w:type="dxa"/>
            <w:tcBorders>
              <w:bottom w:val="single" w:sz="4" w:space="0" w:color="auto"/>
            </w:tcBorders>
            <w:noWrap/>
            <w:hideMark/>
          </w:tcPr>
          <w:p w14:paraId="63B1A94C"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9656.89</w:t>
            </w:r>
          </w:p>
        </w:tc>
        <w:tc>
          <w:tcPr>
            <w:tcW w:w="1040" w:type="dxa"/>
            <w:tcBorders>
              <w:bottom w:val="single" w:sz="4" w:space="0" w:color="auto"/>
            </w:tcBorders>
            <w:noWrap/>
            <w:hideMark/>
          </w:tcPr>
          <w:p w14:paraId="31B8BFBF"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4400.08</w:t>
            </w:r>
          </w:p>
        </w:tc>
        <w:tc>
          <w:tcPr>
            <w:tcW w:w="1040" w:type="dxa"/>
            <w:tcBorders>
              <w:bottom w:val="single" w:sz="4" w:space="0" w:color="auto"/>
            </w:tcBorders>
            <w:noWrap/>
            <w:hideMark/>
          </w:tcPr>
          <w:p w14:paraId="17A0D4E3" w14:textId="77777777" w:rsidR="00BF0BFB" w:rsidRPr="00BF0BFB" w:rsidRDefault="00BF0BFB" w:rsidP="00BF0BFB">
            <w:pPr>
              <w:widowControl/>
              <w:spacing w:beforeLines="0" w:before="0" w:afterLines="0" w:after="0" w:line="240" w:lineRule="auto"/>
              <w:jc w:val="center"/>
              <w:rPr>
                <w:sz w:val="18"/>
                <w:lang w:bidi="ar-SA"/>
              </w:rPr>
            </w:pPr>
            <w:r w:rsidRPr="00BF0BFB">
              <w:rPr>
                <w:rFonts w:hint="eastAsia"/>
                <w:sz w:val="18"/>
                <w:lang w:bidi="ar-SA"/>
              </w:rPr>
              <w:t>7303.16</w:t>
            </w:r>
          </w:p>
        </w:tc>
      </w:tr>
    </w:tbl>
    <w:p w14:paraId="32F94102" w14:textId="77777777" w:rsidR="0087040C" w:rsidRPr="0087040C" w:rsidRDefault="0087040C" w:rsidP="00156F66">
      <w:pPr>
        <w:spacing w:before="156" w:after="156"/>
        <w:rPr>
          <w:rFonts w:cs="Times New Roman"/>
          <w:color w:val="000000" w:themeColor="text1"/>
          <w:sz w:val="20"/>
          <w:szCs w:val="20"/>
        </w:rPr>
      </w:pPr>
    </w:p>
    <w:p w14:paraId="6B8491CD" w14:textId="5523B245" w:rsidR="0087040C" w:rsidRDefault="0087040C" w:rsidP="00156F66">
      <w:pPr>
        <w:spacing w:before="156" w:after="156"/>
        <w:rPr>
          <w:rFonts w:cs="Times New Roman"/>
          <w:color w:val="000000" w:themeColor="text1"/>
          <w:sz w:val="20"/>
          <w:szCs w:val="20"/>
        </w:rPr>
      </w:pPr>
      <w:r>
        <w:rPr>
          <w:rFonts w:cs="Times New Roman" w:hint="eastAsia"/>
          <w:color w:val="000000" w:themeColor="text1"/>
          <w:sz w:val="20"/>
          <w:szCs w:val="20"/>
        </w:rPr>
        <w:t>8.</w:t>
      </w:r>
      <w:r w:rsidRPr="0087040C">
        <w:t xml:space="preserve"> </w:t>
      </w:r>
      <w:r w:rsidRPr="0087040C">
        <w:rPr>
          <w:rFonts w:cs="Times New Roman"/>
          <w:color w:val="000000" w:themeColor="text1"/>
          <w:sz w:val="20"/>
          <w:szCs w:val="20"/>
        </w:rPr>
        <w:t>Line 469: use a consistent format for the term “max-min band”.</w:t>
      </w:r>
    </w:p>
    <w:p w14:paraId="2DD9BC55" w14:textId="57454108" w:rsidR="0087040C" w:rsidRPr="0087040C" w:rsidRDefault="0087040C" w:rsidP="0087040C">
      <w:pPr>
        <w:spacing w:before="156" w:after="156"/>
        <w:rPr>
          <w:rFonts w:cs="Times New Roman"/>
          <w:color w:val="000000" w:themeColor="text1"/>
          <w:sz w:val="20"/>
          <w:szCs w:val="20"/>
        </w:rPr>
      </w:pPr>
      <w:r w:rsidRPr="0087040C">
        <w:rPr>
          <w:rFonts w:cs="Times New Roman"/>
          <w:b/>
          <w:bCs/>
          <w:color w:val="000000" w:themeColor="text1"/>
          <w:sz w:val="20"/>
          <w:szCs w:val="20"/>
        </w:rPr>
        <w:t>Response:</w:t>
      </w:r>
      <w:r w:rsidRPr="0087040C">
        <w:rPr>
          <w:rFonts w:cs="Times New Roman"/>
          <w:color w:val="000000" w:themeColor="text1"/>
          <w:sz w:val="20"/>
          <w:szCs w:val="20"/>
        </w:rPr>
        <w:t xml:space="preserve"> </w:t>
      </w:r>
      <w:r w:rsidR="00BF0BFB" w:rsidRPr="00BF0BFB">
        <w:rPr>
          <w:rFonts w:cs="Times New Roman"/>
          <w:color w:val="000000" w:themeColor="text1"/>
          <w:sz w:val="20"/>
          <w:szCs w:val="20"/>
        </w:rPr>
        <w:t xml:space="preserve">We appreciate the reviewer’s guidance on maintaining terminological consistency. We have carefully reviewed the entire manuscript and standardized the usage of the term "max-min band" </w:t>
      </w:r>
      <w:r w:rsidR="00BF0BFB" w:rsidRPr="00BF0BFB">
        <w:rPr>
          <w:rFonts w:cs="Times New Roman"/>
          <w:color w:val="000000" w:themeColor="text1"/>
          <w:sz w:val="20"/>
          <w:szCs w:val="20"/>
        </w:rPr>
        <w:lastRenderedPageBreak/>
        <w:t>throughout the text to avoid any confusion</w:t>
      </w:r>
      <w:r w:rsidRPr="0087040C">
        <w:rPr>
          <w:rFonts w:cs="Times New Roman"/>
          <w:color w:val="000000" w:themeColor="text1"/>
          <w:sz w:val="20"/>
          <w:szCs w:val="20"/>
        </w:rPr>
        <w:t>.</w:t>
      </w:r>
    </w:p>
    <w:p w14:paraId="151AE605" w14:textId="5ABC2A11" w:rsidR="0087040C" w:rsidRPr="0087040C" w:rsidRDefault="0087040C" w:rsidP="0087040C">
      <w:pPr>
        <w:spacing w:before="156" w:after="156"/>
        <w:rPr>
          <w:rFonts w:cs="Times New Roman"/>
          <w:color w:val="000000" w:themeColor="text1"/>
          <w:sz w:val="20"/>
          <w:szCs w:val="20"/>
        </w:rPr>
      </w:pPr>
      <w:r w:rsidRPr="0087040C">
        <w:rPr>
          <w:rFonts w:cs="Times New Roman"/>
          <w:color w:val="000000" w:themeColor="text1"/>
          <w:sz w:val="20"/>
          <w:szCs w:val="20"/>
        </w:rPr>
        <w:t xml:space="preserve">Please refer to Page </w:t>
      </w:r>
      <w:r w:rsidR="00D8463C">
        <w:rPr>
          <w:rFonts w:cs="Times New Roman" w:hint="eastAsia"/>
          <w:color w:val="000000" w:themeColor="text1"/>
          <w:sz w:val="20"/>
          <w:szCs w:val="20"/>
        </w:rPr>
        <w:t>22</w:t>
      </w:r>
      <w:r w:rsidRPr="0087040C">
        <w:rPr>
          <w:rFonts w:cs="Times New Roman"/>
          <w:color w:val="000000" w:themeColor="text1"/>
          <w:sz w:val="20"/>
          <w:szCs w:val="20"/>
        </w:rPr>
        <w:t xml:space="preserve">, Lines </w:t>
      </w:r>
      <w:r w:rsidR="00D8463C">
        <w:rPr>
          <w:rFonts w:cs="Times New Roman" w:hint="eastAsia"/>
          <w:color w:val="000000" w:themeColor="text1"/>
          <w:sz w:val="20"/>
          <w:szCs w:val="20"/>
        </w:rPr>
        <w:t>475</w:t>
      </w:r>
      <w:r w:rsidRPr="0087040C">
        <w:rPr>
          <w:rFonts w:cs="Times New Roman"/>
          <w:color w:val="000000" w:themeColor="text1"/>
          <w:sz w:val="20"/>
          <w:szCs w:val="20"/>
        </w:rPr>
        <w:t xml:space="preserve"> and the following is the revised manuscript:</w:t>
      </w:r>
    </w:p>
    <w:p w14:paraId="4F99321D" w14:textId="14595C06" w:rsidR="0087040C" w:rsidRPr="0087040C" w:rsidRDefault="00D8463C" w:rsidP="00156F66">
      <w:pPr>
        <w:spacing w:before="156" w:after="156"/>
        <w:rPr>
          <w:rFonts w:cs="Times New Roman"/>
          <w:color w:val="000000" w:themeColor="text1"/>
          <w:sz w:val="20"/>
          <w:szCs w:val="20"/>
        </w:rPr>
      </w:pPr>
      <w:r w:rsidRPr="00D8463C">
        <w:rPr>
          <w:rFonts w:cs="Times New Roman"/>
          <w:color w:val="215E99" w:themeColor="text2" w:themeTint="BF"/>
          <w:sz w:val="20"/>
          <w:szCs w:val="20"/>
        </w:rPr>
        <w:t xml:space="preserve">Alongside these climate-driven variations, the </w:t>
      </w:r>
      <w:proofErr w:type="spellStart"/>
      <w:r w:rsidRPr="00D8463C">
        <w:rPr>
          <w:rFonts w:cs="Times New Roman"/>
          <w:color w:val="215E99" w:themeColor="text2" w:themeTint="BF"/>
          <w:sz w:val="20"/>
          <w:szCs w:val="20"/>
        </w:rPr>
        <w:t>MBEI</w:t>
      </w:r>
      <w:proofErr w:type="spellEnd"/>
      <w:r w:rsidRPr="00D8463C">
        <w:rPr>
          <w:rFonts w:cs="Times New Roman"/>
          <w:color w:val="215E99" w:themeColor="text2" w:themeTint="BF"/>
          <w:sz w:val="20"/>
          <w:szCs w:val="20"/>
        </w:rPr>
        <w:t xml:space="preserve"> is characterized by a broad uncertainty range, stemming from differences in algorithm structures and input data. The spread between </w:t>
      </w:r>
      <w:proofErr w:type="spellStart"/>
      <w:r w:rsidRPr="00D8463C">
        <w:rPr>
          <w:rFonts w:cs="Times New Roman"/>
          <w:color w:val="215E99" w:themeColor="text2" w:themeTint="BF"/>
          <w:sz w:val="20"/>
          <w:szCs w:val="20"/>
        </w:rPr>
        <w:t>MBEI</w:t>
      </w:r>
      <w:proofErr w:type="spellEnd"/>
      <w:r w:rsidRPr="00D8463C">
        <w:rPr>
          <w:rFonts w:cs="Times New Roman"/>
          <w:color w:val="215E99" w:themeColor="text2" w:themeTint="BF"/>
          <w:sz w:val="20"/>
          <w:szCs w:val="20"/>
        </w:rPr>
        <w:t xml:space="preserve"> estimates (the max-min band in Figs. </w:t>
      </w:r>
      <w:proofErr w:type="spellStart"/>
      <w:r w:rsidRPr="00D8463C">
        <w:rPr>
          <w:rFonts w:cs="Times New Roman"/>
          <w:color w:val="215E99" w:themeColor="text2" w:themeTint="BF"/>
          <w:sz w:val="20"/>
          <w:szCs w:val="20"/>
        </w:rPr>
        <w:t>4a</w:t>
      </w:r>
      <w:proofErr w:type="spellEnd"/>
      <w:r w:rsidRPr="00D8463C">
        <w:rPr>
          <w:rFonts w:cs="Times New Roman"/>
          <w:color w:val="215E99" w:themeColor="text2" w:themeTint="BF"/>
          <w:sz w:val="20"/>
          <w:szCs w:val="20"/>
        </w:rPr>
        <w:t xml:space="preserve">, c, e) is considerable, with the difference between the highest and lowest annual totals exceeding 2600 </w:t>
      </w:r>
      <w:proofErr w:type="spellStart"/>
      <w:r w:rsidRPr="00D8463C">
        <w:rPr>
          <w:rFonts w:cs="Times New Roman"/>
          <w:color w:val="215E99" w:themeColor="text2" w:themeTint="BF"/>
          <w:sz w:val="20"/>
          <w:szCs w:val="20"/>
        </w:rPr>
        <w:t>Tg</w:t>
      </w:r>
      <w:proofErr w:type="spellEnd"/>
      <w:r w:rsidRPr="00D8463C">
        <w:rPr>
          <w:rFonts w:cs="Times New Roman"/>
          <w:color w:val="215E99" w:themeColor="text2" w:themeTint="BF"/>
          <w:sz w:val="20"/>
          <w:szCs w:val="20"/>
        </w:rPr>
        <w:t xml:space="preserve"> in some years (e.g., 2004, 2022).</w:t>
      </w:r>
    </w:p>
    <w:p w14:paraId="324D5F81" w14:textId="536559D8" w:rsidR="0087040C" w:rsidRDefault="0087040C" w:rsidP="00156F66">
      <w:pPr>
        <w:spacing w:before="156" w:after="156"/>
        <w:rPr>
          <w:rFonts w:cs="Times New Roman"/>
          <w:color w:val="000000" w:themeColor="text1"/>
          <w:sz w:val="20"/>
          <w:szCs w:val="20"/>
        </w:rPr>
      </w:pPr>
      <w:r>
        <w:rPr>
          <w:rFonts w:cs="Times New Roman" w:hint="eastAsia"/>
          <w:color w:val="000000" w:themeColor="text1"/>
          <w:sz w:val="20"/>
          <w:szCs w:val="20"/>
        </w:rPr>
        <w:t>9.</w:t>
      </w:r>
      <w:r w:rsidRPr="0087040C">
        <w:t xml:space="preserve"> </w:t>
      </w:r>
      <w:r w:rsidRPr="0087040C">
        <w:rPr>
          <w:rFonts w:cs="Times New Roman"/>
          <w:color w:val="000000" w:themeColor="text1"/>
          <w:sz w:val="20"/>
          <w:szCs w:val="20"/>
        </w:rPr>
        <w:t>Line 477-479: Is there any tables or figures in the supplementary material to support these results?</w:t>
      </w:r>
    </w:p>
    <w:p w14:paraId="24D1B303" w14:textId="628C8A9F" w:rsidR="0087040C" w:rsidRPr="0087040C" w:rsidRDefault="0087040C" w:rsidP="0087040C">
      <w:pPr>
        <w:spacing w:before="156" w:after="156"/>
        <w:rPr>
          <w:rFonts w:cs="Times New Roman"/>
          <w:color w:val="000000" w:themeColor="text1"/>
          <w:sz w:val="20"/>
          <w:szCs w:val="20"/>
        </w:rPr>
      </w:pPr>
      <w:r w:rsidRPr="0087040C">
        <w:rPr>
          <w:rFonts w:cs="Times New Roman"/>
          <w:b/>
          <w:bCs/>
          <w:color w:val="000000" w:themeColor="text1"/>
          <w:sz w:val="20"/>
          <w:szCs w:val="20"/>
        </w:rPr>
        <w:t>Response:</w:t>
      </w:r>
      <w:r w:rsidRPr="0087040C">
        <w:rPr>
          <w:rFonts w:cs="Times New Roman"/>
          <w:color w:val="000000" w:themeColor="text1"/>
          <w:sz w:val="20"/>
          <w:szCs w:val="20"/>
        </w:rPr>
        <w:t xml:space="preserve"> </w:t>
      </w:r>
      <w:r w:rsidR="00BF0BFB" w:rsidRPr="00BF0BFB">
        <w:rPr>
          <w:rFonts w:cs="Times New Roman"/>
          <w:color w:val="000000" w:themeColor="text1"/>
          <w:sz w:val="20"/>
          <w:szCs w:val="20"/>
        </w:rPr>
        <w:t xml:space="preserve">We thank the reviewer for suggesting the inclusion of supporting data for these results. We agree that providing the underlying data enhances the robustness of our claims. Therefore, we have added new supplementary tables (Table </w:t>
      </w:r>
      <w:proofErr w:type="spellStart"/>
      <w:r w:rsidR="00BF0BFB" w:rsidRPr="00BF0BFB">
        <w:rPr>
          <w:rFonts w:cs="Times New Roman"/>
          <w:color w:val="000000" w:themeColor="text1"/>
          <w:sz w:val="20"/>
          <w:szCs w:val="20"/>
        </w:rPr>
        <w:t>S6</w:t>
      </w:r>
      <w:proofErr w:type="spellEnd"/>
      <w:r w:rsidR="00BF0BFB" w:rsidRPr="00BF0BFB">
        <w:rPr>
          <w:rFonts w:cs="Times New Roman"/>
          <w:color w:val="000000" w:themeColor="text1"/>
          <w:sz w:val="20"/>
          <w:szCs w:val="20"/>
        </w:rPr>
        <w:t>–</w:t>
      </w:r>
      <w:proofErr w:type="spellStart"/>
      <w:r w:rsidR="00BF0BFB" w:rsidRPr="00BF0BFB">
        <w:rPr>
          <w:rFonts w:cs="Times New Roman"/>
          <w:color w:val="000000" w:themeColor="text1"/>
          <w:sz w:val="20"/>
          <w:szCs w:val="20"/>
        </w:rPr>
        <w:t>S8</w:t>
      </w:r>
      <w:proofErr w:type="spellEnd"/>
      <w:r w:rsidR="00BF0BFB" w:rsidRPr="00BF0BFB">
        <w:rPr>
          <w:rFonts w:cs="Times New Roman"/>
          <w:color w:val="000000" w:themeColor="text1"/>
          <w:sz w:val="20"/>
          <w:szCs w:val="20"/>
        </w:rPr>
        <w:t>) to the Supplementary Material, which explicitly support the results discussed in Lines 477–479.</w:t>
      </w:r>
    </w:p>
    <w:p w14:paraId="1BCD471E" w14:textId="433CB32F" w:rsidR="0087040C" w:rsidRPr="0087040C" w:rsidRDefault="0087040C" w:rsidP="0087040C">
      <w:pPr>
        <w:spacing w:before="156" w:after="156"/>
        <w:rPr>
          <w:rFonts w:cs="Times New Roman"/>
          <w:color w:val="000000" w:themeColor="text1"/>
          <w:sz w:val="20"/>
          <w:szCs w:val="20"/>
        </w:rPr>
      </w:pPr>
      <w:r w:rsidRPr="0087040C">
        <w:rPr>
          <w:rFonts w:cs="Times New Roman"/>
          <w:color w:val="000000" w:themeColor="text1"/>
          <w:sz w:val="20"/>
          <w:szCs w:val="20"/>
        </w:rPr>
        <w:t xml:space="preserve">Please refer to Page </w:t>
      </w:r>
      <w:r w:rsidR="00D8463C">
        <w:rPr>
          <w:rFonts w:cs="Times New Roman" w:hint="eastAsia"/>
          <w:color w:val="000000" w:themeColor="text1"/>
          <w:sz w:val="20"/>
          <w:szCs w:val="20"/>
        </w:rPr>
        <w:t>22-2</w:t>
      </w:r>
      <w:r w:rsidRPr="0087040C">
        <w:rPr>
          <w:rFonts w:cs="Times New Roman"/>
          <w:color w:val="000000" w:themeColor="text1"/>
          <w:sz w:val="20"/>
          <w:szCs w:val="20"/>
        </w:rPr>
        <w:t xml:space="preserve">3, Lines </w:t>
      </w:r>
      <w:r w:rsidR="00D8463C">
        <w:rPr>
          <w:rFonts w:cs="Times New Roman" w:hint="eastAsia"/>
          <w:color w:val="000000" w:themeColor="text1"/>
          <w:sz w:val="20"/>
          <w:szCs w:val="20"/>
        </w:rPr>
        <w:t>482-512</w:t>
      </w:r>
      <w:r w:rsidRPr="0087040C">
        <w:rPr>
          <w:rFonts w:cs="Times New Roman"/>
          <w:color w:val="000000" w:themeColor="text1"/>
          <w:sz w:val="20"/>
          <w:szCs w:val="20"/>
        </w:rPr>
        <w:t xml:space="preserve"> and the following is the revised manuscript:</w:t>
      </w:r>
    </w:p>
    <w:p w14:paraId="10536D57" w14:textId="08CFB664" w:rsidR="00D8463C" w:rsidRPr="00D8463C" w:rsidRDefault="00D8463C" w:rsidP="00D8463C">
      <w:pPr>
        <w:spacing w:before="156" w:after="156"/>
        <w:rPr>
          <w:rFonts w:cs="Times New Roman"/>
          <w:color w:val="215E99" w:themeColor="text2" w:themeTint="BF"/>
          <w:sz w:val="20"/>
          <w:szCs w:val="20"/>
        </w:rPr>
      </w:pPr>
      <w:r w:rsidRPr="00D8463C">
        <w:rPr>
          <w:rFonts w:cs="Times New Roman"/>
          <w:color w:val="215E99" w:themeColor="text2" w:themeTint="BF"/>
          <w:sz w:val="20"/>
          <w:szCs w:val="20"/>
        </w:rPr>
        <w:t xml:space="preserve">Over the full 21-year period, statistically significant trends were concentrated in Asia. BOAS exhibited a strong and significant increasing trend in emission flux at a rate of 15.71 g m-2 yr-1 (p &lt; 0.01). In contrast, CEAS and SEAS showed significant decreasing trends of -1.72 g m-2 yr-1 (p &lt; 0.01) and -2.08 g m-2 yr-1 (p &lt; 0.05), respectively (Table </w:t>
      </w:r>
      <w:proofErr w:type="spellStart"/>
      <w:r w:rsidRPr="00D8463C">
        <w:rPr>
          <w:rFonts w:cs="Times New Roman"/>
          <w:color w:val="215E99" w:themeColor="text2" w:themeTint="BF"/>
          <w:sz w:val="20"/>
          <w:szCs w:val="20"/>
        </w:rPr>
        <w:t>S6</w:t>
      </w:r>
      <w:proofErr w:type="spellEnd"/>
      <w:r w:rsidRPr="00D8463C">
        <w:rPr>
          <w:rFonts w:cs="Times New Roman"/>
          <w:color w:val="215E99" w:themeColor="text2" w:themeTint="BF"/>
          <w:sz w:val="20"/>
          <w:szCs w:val="20"/>
        </w:rPr>
        <w:t xml:space="preserve">). Fig. </w:t>
      </w:r>
      <w:proofErr w:type="spellStart"/>
      <w:r w:rsidRPr="00D8463C">
        <w:rPr>
          <w:rFonts w:cs="Times New Roman"/>
          <w:color w:val="215E99" w:themeColor="text2" w:themeTint="BF"/>
          <w:sz w:val="20"/>
          <w:szCs w:val="20"/>
        </w:rPr>
        <w:t>4b</w:t>
      </w:r>
      <w:proofErr w:type="spellEnd"/>
      <w:r w:rsidRPr="00D8463C">
        <w:rPr>
          <w:rFonts w:cs="Times New Roman"/>
          <w:color w:val="215E99" w:themeColor="text2" w:themeTint="BF"/>
          <w:sz w:val="20"/>
          <w:szCs w:val="20"/>
        </w:rPr>
        <w:t xml:space="preserve"> suggests decreases in equatorial Africa and central-southern South America, and increases in BONA, these trends were not statistically significant when aggregated over the entire 14 </w:t>
      </w:r>
      <w:proofErr w:type="spellStart"/>
      <w:r w:rsidRPr="00D8463C">
        <w:rPr>
          <w:rFonts w:cs="Times New Roman"/>
          <w:color w:val="215E99" w:themeColor="text2" w:themeTint="BF"/>
          <w:sz w:val="20"/>
          <w:szCs w:val="20"/>
        </w:rPr>
        <w:t>GFED</w:t>
      </w:r>
      <w:proofErr w:type="spellEnd"/>
      <w:r w:rsidRPr="00D8463C">
        <w:rPr>
          <w:rFonts w:cs="Times New Roman"/>
          <w:color w:val="215E99" w:themeColor="text2" w:themeTint="BF"/>
          <w:sz w:val="20"/>
          <w:szCs w:val="20"/>
        </w:rPr>
        <w:t xml:space="preserve"> regions for the 2003–2023 period. This highlights an offsetting pattern, where declining emissions in some regions are partially balanced by increases elsewhere, contributing to the lack of a significant global trend.</w:t>
      </w:r>
    </w:p>
    <w:p w14:paraId="6B965960" w14:textId="77777777" w:rsidR="00D8463C" w:rsidRPr="00D8463C" w:rsidRDefault="00D8463C" w:rsidP="00D8463C">
      <w:pPr>
        <w:spacing w:before="156" w:after="156"/>
        <w:rPr>
          <w:rFonts w:cs="Times New Roman"/>
          <w:color w:val="215E99" w:themeColor="text2" w:themeTint="BF"/>
          <w:sz w:val="20"/>
          <w:szCs w:val="20"/>
        </w:rPr>
      </w:pPr>
      <w:r w:rsidRPr="00D8463C">
        <w:rPr>
          <w:rFonts w:cs="Times New Roman"/>
          <w:color w:val="215E99" w:themeColor="text2" w:themeTint="BF"/>
          <w:sz w:val="20"/>
          <w:szCs w:val="20"/>
        </w:rPr>
        <w:t xml:space="preserve">A decadal comparison between 2003–2013 and 2013–2023 reveals substantial evolution in these spatial patterns, indicating a major shift in the global distribution of biomass burning emissions (Figs. </w:t>
      </w:r>
      <w:proofErr w:type="spellStart"/>
      <w:r w:rsidRPr="00D8463C">
        <w:rPr>
          <w:rFonts w:cs="Times New Roman"/>
          <w:color w:val="215E99" w:themeColor="text2" w:themeTint="BF"/>
          <w:sz w:val="20"/>
          <w:szCs w:val="20"/>
        </w:rPr>
        <w:t>4d</w:t>
      </w:r>
      <w:proofErr w:type="spellEnd"/>
      <w:r w:rsidRPr="00D8463C">
        <w:rPr>
          <w:rFonts w:cs="Times New Roman"/>
          <w:color w:val="215E99" w:themeColor="text2" w:themeTint="BF"/>
          <w:sz w:val="20"/>
          <w:szCs w:val="20"/>
        </w:rPr>
        <w:t>, f).</w:t>
      </w:r>
    </w:p>
    <w:p w14:paraId="01EFAF9D" w14:textId="79DC70B1" w:rsidR="00D8463C" w:rsidRPr="00D8463C" w:rsidRDefault="00D8463C" w:rsidP="00D8463C">
      <w:pPr>
        <w:spacing w:before="156" w:after="156"/>
        <w:rPr>
          <w:rFonts w:cs="Times New Roman"/>
          <w:color w:val="215E99" w:themeColor="text2" w:themeTint="BF"/>
          <w:sz w:val="20"/>
          <w:szCs w:val="20"/>
        </w:rPr>
      </w:pPr>
      <w:r w:rsidRPr="00D8463C">
        <w:rPr>
          <w:rFonts w:cs="Times New Roman"/>
          <w:color w:val="215E99" w:themeColor="text2" w:themeTint="BF"/>
          <w:sz w:val="20"/>
          <w:szCs w:val="20"/>
        </w:rPr>
        <w:t xml:space="preserve">During the first decade (2003–2013), a slight but statistically non-significant global decrease (p &gt; 0.05; Fig. </w:t>
      </w:r>
      <w:proofErr w:type="spellStart"/>
      <w:r w:rsidRPr="00D8463C">
        <w:rPr>
          <w:rFonts w:cs="Times New Roman"/>
          <w:color w:val="215E99" w:themeColor="text2" w:themeTint="BF"/>
          <w:sz w:val="20"/>
          <w:szCs w:val="20"/>
        </w:rPr>
        <w:t>4c</w:t>
      </w:r>
      <w:proofErr w:type="spellEnd"/>
      <w:r w:rsidRPr="00D8463C">
        <w:rPr>
          <w:rFonts w:cs="Times New Roman"/>
          <w:color w:val="215E99" w:themeColor="text2" w:themeTint="BF"/>
          <w:sz w:val="20"/>
          <w:szCs w:val="20"/>
        </w:rPr>
        <w:t xml:space="preserve">) masked a profound spatial redistribution of fire activity. The dominant feature was a significant increase in fire emissions in SHAF, which saw an upward trend of 4.41 g m-2 yr-1 (p &lt; 0.05). By contrast, South America experienced significant decreases, particularly in NHSA where emissions declined at a rate of -4.97 g m-2 yr-1 (p &lt; 0.05). Simultaneously, a strong decreasing trend was observed in CEAS, </w:t>
      </w:r>
      <w:r w:rsidRPr="00D8463C">
        <w:rPr>
          <w:rFonts w:cs="Times New Roman"/>
          <w:color w:val="215E99" w:themeColor="text2" w:themeTint="BF"/>
          <w:sz w:val="20"/>
          <w:szCs w:val="20"/>
        </w:rPr>
        <w:lastRenderedPageBreak/>
        <w:t xml:space="preserve">with a rate of -2.96 g m-2 yr-1 (p &lt; 0.05). Boreal regions and Southeast Asia showed no statistically significant regional trends during this period (Fig. </w:t>
      </w:r>
      <w:proofErr w:type="spellStart"/>
      <w:r w:rsidRPr="00D8463C">
        <w:rPr>
          <w:rFonts w:cs="Times New Roman"/>
          <w:color w:val="215E99" w:themeColor="text2" w:themeTint="BF"/>
          <w:sz w:val="20"/>
          <w:szCs w:val="20"/>
        </w:rPr>
        <w:t>4d</w:t>
      </w:r>
      <w:proofErr w:type="spellEnd"/>
      <w:r w:rsidRPr="00D8463C">
        <w:rPr>
          <w:rFonts w:cs="Times New Roman"/>
          <w:color w:val="215E99" w:themeColor="text2" w:themeTint="BF"/>
          <w:sz w:val="20"/>
          <w:szCs w:val="20"/>
        </w:rPr>
        <w:t xml:space="preserve"> and Table </w:t>
      </w:r>
      <w:proofErr w:type="spellStart"/>
      <w:r w:rsidRPr="00D8463C">
        <w:rPr>
          <w:rFonts w:cs="Times New Roman"/>
          <w:color w:val="215E99" w:themeColor="text2" w:themeTint="BF"/>
          <w:sz w:val="20"/>
          <w:szCs w:val="20"/>
        </w:rPr>
        <w:t>S7</w:t>
      </w:r>
      <w:proofErr w:type="spellEnd"/>
      <w:r w:rsidRPr="00D8463C">
        <w:rPr>
          <w:rFonts w:cs="Times New Roman"/>
          <w:color w:val="215E99" w:themeColor="text2" w:themeTint="BF"/>
          <w:sz w:val="20"/>
          <w:szCs w:val="20"/>
        </w:rPr>
        <w:t xml:space="preserve">). </w:t>
      </w:r>
    </w:p>
    <w:p w14:paraId="6862793B" w14:textId="05B73B9E" w:rsidR="0087040C" w:rsidRDefault="00D8463C" w:rsidP="00D8463C">
      <w:pPr>
        <w:spacing w:before="156" w:after="156"/>
        <w:rPr>
          <w:rFonts w:cs="Times New Roman"/>
          <w:color w:val="215E99" w:themeColor="text2" w:themeTint="BF"/>
          <w:sz w:val="20"/>
          <w:szCs w:val="20"/>
        </w:rPr>
      </w:pPr>
      <w:r w:rsidRPr="00D8463C">
        <w:rPr>
          <w:rFonts w:cs="Times New Roman"/>
          <w:color w:val="215E99" w:themeColor="text2" w:themeTint="BF"/>
          <w:sz w:val="20"/>
          <w:szCs w:val="20"/>
        </w:rPr>
        <w:t xml:space="preserve">In the subsequent decade (2013–2023), this pattern shifted markedly. Although the global emission trajectory did not exhibit a statistically significant linear trend (p &gt; 0.05), it transitioned from a slight decline to an overall increase (Fig. </w:t>
      </w:r>
      <w:proofErr w:type="spellStart"/>
      <w:r w:rsidRPr="00D8463C">
        <w:rPr>
          <w:rFonts w:cs="Times New Roman"/>
          <w:color w:val="215E99" w:themeColor="text2" w:themeTint="BF"/>
          <w:sz w:val="20"/>
          <w:szCs w:val="20"/>
        </w:rPr>
        <w:t>4e</w:t>
      </w:r>
      <w:proofErr w:type="spellEnd"/>
      <w:r w:rsidRPr="00D8463C">
        <w:rPr>
          <w:rFonts w:cs="Times New Roman"/>
          <w:color w:val="215E99" w:themeColor="text2" w:themeTint="BF"/>
          <w:sz w:val="20"/>
          <w:szCs w:val="20"/>
        </w:rPr>
        <w:t xml:space="preserve">), signaling a clear decadal change in biomass burning dynamics. This shift is more appropriately characterized as a structural transformation rather than a linear progression, driven by a marked increase in both the frequency and intensity of extreme emission years (e.g., 2015, 2019, 2023). The 2015–2016 ENSO cycle exemplifies this mechanism, as the super El Niño event in 2015 induced catastrophic PEAT in Indonesia (EQAS) and elevated global emissions to a record peak, which was subsequently followed by a pronounced decline in 2016 with the onset of a strong La Niña (Whitburn et al., 2016; Yin et al., </w:t>
      </w:r>
      <w:proofErr w:type="spellStart"/>
      <w:r w:rsidRPr="00D8463C">
        <w:rPr>
          <w:rFonts w:cs="Times New Roman"/>
          <w:color w:val="215E99" w:themeColor="text2" w:themeTint="BF"/>
          <w:sz w:val="20"/>
          <w:szCs w:val="20"/>
        </w:rPr>
        <w:t>2020a</w:t>
      </w:r>
      <w:proofErr w:type="spellEnd"/>
      <w:r w:rsidRPr="00D8463C">
        <w:rPr>
          <w:rFonts w:cs="Times New Roman"/>
          <w:color w:val="215E99" w:themeColor="text2" w:themeTint="BF"/>
          <w:sz w:val="20"/>
          <w:szCs w:val="20"/>
        </w:rPr>
        <w:t>). The 2023 fire season was even more pronounced, as an unprecedented wildfire season in boreal Canada (BONA) coincided with a developing El Niño, jointly driving global annual emissions to the highest level in our 21-year record</w:t>
      </w:r>
      <w:r w:rsidR="00711D89">
        <w:rPr>
          <w:rFonts w:cs="Times New Roman" w:hint="eastAsia"/>
          <w:color w:val="215E99" w:themeColor="text2" w:themeTint="BF"/>
          <w:sz w:val="20"/>
          <w:szCs w:val="20"/>
        </w:rPr>
        <w:t>.</w:t>
      </w:r>
      <w:r w:rsidRPr="00D8463C">
        <w:rPr>
          <w:rFonts w:cs="Times New Roman"/>
          <w:color w:val="215E99" w:themeColor="text2" w:themeTint="BF"/>
          <w:sz w:val="20"/>
          <w:szCs w:val="20"/>
        </w:rPr>
        <w:t xml:space="preserve"> Detailed regional statistics, including the annual mean CO</w:t>
      </w:r>
      <w:r w:rsidRPr="00821A27">
        <w:rPr>
          <w:rFonts w:cs="Times New Roman"/>
          <w:color w:val="215E99" w:themeColor="text2" w:themeTint="BF"/>
          <w:sz w:val="20"/>
          <w:szCs w:val="20"/>
          <w:vertAlign w:val="subscript"/>
        </w:rPr>
        <w:t>2</w:t>
      </w:r>
      <w:r w:rsidRPr="00D8463C">
        <w:rPr>
          <w:rFonts w:cs="Times New Roman"/>
          <w:color w:val="215E99" w:themeColor="text2" w:themeTint="BF"/>
          <w:sz w:val="20"/>
          <w:szCs w:val="20"/>
        </w:rPr>
        <w:t xml:space="preserve"> emission fluxes and their corresponding Theil-Sen slope trends across the 14 study regions for the 2013–2023 period, are summarized in Table </w:t>
      </w:r>
      <w:proofErr w:type="spellStart"/>
      <w:r w:rsidRPr="00D8463C">
        <w:rPr>
          <w:rFonts w:cs="Times New Roman"/>
          <w:color w:val="215E99" w:themeColor="text2" w:themeTint="BF"/>
          <w:sz w:val="20"/>
          <w:szCs w:val="20"/>
        </w:rPr>
        <w:t>S8</w:t>
      </w:r>
      <w:proofErr w:type="spellEnd"/>
      <w:r w:rsidRPr="00D8463C">
        <w:rPr>
          <w:rFonts w:cs="Times New Roman"/>
          <w:color w:val="215E99" w:themeColor="text2" w:themeTint="BF"/>
          <w:sz w:val="20"/>
          <w:szCs w:val="20"/>
        </w:rPr>
        <w:t xml:space="preserve"> (Jain et al., 2024; Luo et al., 2025).</w:t>
      </w:r>
    </w:p>
    <w:p w14:paraId="0C6B0972" w14:textId="4D0DE052" w:rsidR="00A16A16" w:rsidRDefault="00A16A16" w:rsidP="00D8463C">
      <w:pPr>
        <w:spacing w:before="156" w:after="156"/>
        <w:rPr>
          <w:rFonts w:cs="Times New Roman"/>
          <w:color w:val="000000" w:themeColor="text1"/>
          <w:sz w:val="20"/>
          <w:szCs w:val="20"/>
        </w:rPr>
      </w:pPr>
      <w:r w:rsidRPr="00A16A16">
        <w:rPr>
          <w:rFonts w:cs="Times New Roman"/>
          <w:color w:val="000000" w:themeColor="text1"/>
          <w:sz w:val="20"/>
          <w:szCs w:val="20"/>
        </w:rPr>
        <w:t xml:space="preserve">Please refer to the following is the revised Table </w:t>
      </w:r>
      <w:proofErr w:type="spellStart"/>
      <w:r>
        <w:rPr>
          <w:rFonts w:cs="Times New Roman" w:hint="eastAsia"/>
          <w:color w:val="000000" w:themeColor="text1"/>
          <w:sz w:val="20"/>
          <w:szCs w:val="20"/>
        </w:rPr>
        <w:t>S6</w:t>
      </w:r>
      <w:proofErr w:type="spellEnd"/>
      <w:r>
        <w:rPr>
          <w:rFonts w:cs="Times New Roman" w:hint="eastAsia"/>
          <w:color w:val="000000" w:themeColor="text1"/>
          <w:sz w:val="20"/>
          <w:szCs w:val="20"/>
        </w:rPr>
        <w:t xml:space="preserve">-8 in </w:t>
      </w:r>
      <w:r w:rsidRPr="0087040C">
        <w:rPr>
          <w:rFonts w:cs="Times New Roman"/>
          <w:color w:val="000000" w:themeColor="text1"/>
          <w:sz w:val="20"/>
          <w:szCs w:val="20"/>
        </w:rPr>
        <w:t>Supplementary material</w:t>
      </w:r>
      <w:r w:rsidRPr="00A16A16">
        <w:rPr>
          <w:rFonts w:cs="Times New Roman"/>
          <w:color w:val="000000" w:themeColor="text1"/>
          <w:sz w:val="20"/>
          <w:szCs w:val="20"/>
        </w:rPr>
        <w:t>:</w:t>
      </w:r>
    </w:p>
    <w:p w14:paraId="037C53D0" w14:textId="77777777" w:rsidR="00A16A16" w:rsidRPr="00A16A16" w:rsidRDefault="00A16A16" w:rsidP="00A16A16">
      <w:pPr>
        <w:spacing w:beforeLines="0" w:before="0" w:afterLines="0" w:after="0" w:line="240" w:lineRule="auto"/>
        <w:jc w:val="center"/>
        <w:rPr>
          <w:rFonts w:eastAsiaTheme="minorEastAsia" w:cs="Times New Roman"/>
          <w:b/>
          <w:sz w:val="20"/>
          <w:szCs w:val="20"/>
          <w:lang w:bidi="ar-SA"/>
          <w14:ligatures w14:val="standardContextual"/>
        </w:rPr>
      </w:pPr>
      <w:r w:rsidRPr="00A16A16">
        <w:rPr>
          <w:rFonts w:eastAsia="Times New Roman" w:cs="Times New Roman"/>
          <w:b/>
          <w:sz w:val="20"/>
          <w:szCs w:val="20"/>
          <w:lang w:bidi="ar-SA"/>
          <w14:ligatures w14:val="standardContextual"/>
        </w:rPr>
        <w:t xml:space="preserve">Table </w:t>
      </w:r>
      <w:proofErr w:type="spellStart"/>
      <w:r w:rsidRPr="00A16A16">
        <w:rPr>
          <w:rFonts w:eastAsia="Times New Roman" w:cs="Times New Roman"/>
          <w:b/>
          <w:sz w:val="20"/>
          <w:szCs w:val="20"/>
          <w:lang w:bidi="ar-SA"/>
          <w14:ligatures w14:val="standardContextual"/>
        </w:rPr>
        <w:t>S</w:t>
      </w:r>
      <w:r w:rsidRPr="00A16A16">
        <w:rPr>
          <w:rFonts w:eastAsiaTheme="minorEastAsia" w:cs="Times New Roman" w:hint="eastAsia"/>
          <w:b/>
          <w:sz w:val="20"/>
          <w:szCs w:val="20"/>
          <w:lang w:bidi="ar-SA"/>
          <w14:ligatures w14:val="standardContextual"/>
        </w:rPr>
        <w:t>6</w:t>
      </w:r>
      <w:proofErr w:type="spellEnd"/>
      <w:r w:rsidRPr="00A16A16">
        <w:rPr>
          <w:rFonts w:eastAsia="Times New Roman" w:cs="Times New Roman"/>
          <w:b/>
          <w:sz w:val="20"/>
          <w:szCs w:val="20"/>
          <w:lang w:bidi="ar-SA"/>
          <w14:ligatures w14:val="standardContextual"/>
        </w:rPr>
        <w:t>. Mean annual CO</w:t>
      </w:r>
      <w:r w:rsidRPr="00A16A16">
        <w:rPr>
          <w:rFonts w:eastAsiaTheme="minorEastAsia" w:cs="Times New Roman" w:hint="eastAsia"/>
          <w:b/>
          <w:sz w:val="20"/>
          <w:szCs w:val="20"/>
          <w:vertAlign w:val="subscript"/>
          <w:lang w:bidi="ar-SA"/>
          <w14:ligatures w14:val="standardContextual"/>
        </w:rPr>
        <w:t>2</w:t>
      </w:r>
      <w:r w:rsidRPr="00A16A16">
        <w:rPr>
          <w:rFonts w:eastAsia="Times New Roman" w:cs="Times New Roman"/>
          <w:b/>
          <w:sz w:val="20"/>
          <w:szCs w:val="20"/>
          <w:lang w:bidi="ar-SA"/>
          <w14:ligatures w14:val="standardContextual"/>
        </w:rPr>
        <w:t xml:space="preserve"> emission fluxes and their corresponding Theil-Sen slope trends across 14 regions from 2003 to 2023. (unit: </w:t>
      </w:r>
      <w:r w:rsidRPr="00A16A16">
        <w:rPr>
          <w:rFonts w:eastAsiaTheme="minorEastAsia" w:cs="Times New Roman" w:hint="eastAsia"/>
          <w:b/>
          <w:sz w:val="20"/>
          <w:szCs w:val="20"/>
          <w:lang w:bidi="ar-SA"/>
          <w14:ligatures w14:val="standardContextual"/>
        </w:rPr>
        <w:t>g m</w:t>
      </w:r>
      <w:r w:rsidRPr="00A16A16">
        <w:rPr>
          <w:rFonts w:eastAsiaTheme="minorEastAsia" w:cs="Times New Roman" w:hint="eastAsia"/>
          <w:b/>
          <w:sz w:val="20"/>
          <w:szCs w:val="20"/>
          <w:vertAlign w:val="superscript"/>
          <w:lang w:bidi="ar-SA"/>
          <w14:ligatures w14:val="standardContextual"/>
        </w:rPr>
        <w:t>-2</w:t>
      </w:r>
      <w:r w:rsidRPr="00A16A16">
        <w:rPr>
          <w:rFonts w:eastAsia="Times New Roman" w:cs="Times New Roman"/>
          <w:b/>
          <w:sz w:val="20"/>
          <w:szCs w:val="20"/>
          <w:lang w:bidi="ar-SA"/>
          <w14:ligatures w14:val="standardContextual"/>
        </w:rPr>
        <w:t xml:space="preserve">). </w:t>
      </w:r>
    </w:p>
    <w:tbl>
      <w:tblPr>
        <w:tblW w:w="5000" w:type="pct"/>
        <w:tblBorders>
          <w:top w:val="single" w:sz="4" w:space="0" w:color="auto"/>
          <w:bottom w:val="single" w:sz="4" w:space="0" w:color="auto"/>
          <w:insideH w:val="single" w:sz="4" w:space="0" w:color="auto"/>
        </w:tblBorders>
        <w:tblLook w:val="04A0" w:firstRow="1" w:lastRow="0" w:firstColumn="1" w:lastColumn="0" w:noHBand="0" w:noVBand="1"/>
      </w:tblPr>
      <w:tblGrid>
        <w:gridCol w:w="1417"/>
        <w:gridCol w:w="3361"/>
        <w:gridCol w:w="3528"/>
      </w:tblGrid>
      <w:tr w:rsidR="00A16A16" w:rsidRPr="00A16A16" w14:paraId="03EADF55" w14:textId="77777777" w:rsidTr="004A7EDC">
        <w:trPr>
          <w:trHeight w:val="288"/>
        </w:trPr>
        <w:tc>
          <w:tcPr>
            <w:tcW w:w="853" w:type="pct"/>
            <w:tcBorders>
              <w:bottom w:val="single" w:sz="4" w:space="0" w:color="auto"/>
              <w:right w:val="nil"/>
            </w:tcBorders>
            <w:noWrap/>
            <w:vAlign w:val="center"/>
            <w:hideMark/>
          </w:tcPr>
          <w:p w14:paraId="53A80224" w14:textId="77777777" w:rsidR="00A16A16" w:rsidRPr="00A16A16" w:rsidRDefault="00A16A16" w:rsidP="00A16A16">
            <w:pPr>
              <w:widowControl/>
              <w:spacing w:beforeLines="0" w:before="0" w:afterLines="0" w:after="0" w:line="240" w:lineRule="auto"/>
              <w:jc w:val="center"/>
              <w:rPr>
                <w:rFonts w:cs="Times New Roman"/>
                <w:kern w:val="0"/>
                <w:sz w:val="20"/>
                <w:szCs w:val="20"/>
                <w:lang w:bidi="ar-SA"/>
              </w:rPr>
            </w:pPr>
            <w:bookmarkStart w:id="15" w:name="_Hlk217572487"/>
            <w:r w:rsidRPr="00A16A16">
              <w:rPr>
                <w:rFonts w:cs="Times New Roman" w:hint="eastAsia"/>
                <w:kern w:val="0"/>
                <w:sz w:val="20"/>
                <w:szCs w:val="20"/>
                <w:lang w:bidi="ar-SA"/>
              </w:rPr>
              <w:t>Region</w:t>
            </w:r>
          </w:p>
        </w:tc>
        <w:tc>
          <w:tcPr>
            <w:tcW w:w="2023" w:type="pct"/>
            <w:tcBorders>
              <w:left w:val="nil"/>
              <w:bottom w:val="single" w:sz="4" w:space="0" w:color="auto"/>
            </w:tcBorders>
            <w:noWrap/>
            <w:vAlign w:val="center"/>
            <w:hideMark/>
          </w:tcPr>
          <w:p w14:paraId="6F670607" w14:textId="77777777" w:rsidR="00A16A16" w:rsidRPr="00A16A16" w:rsidRDefault="00A16A16" w:rsidP="00A16A16">
            <w:pPr>
              <w:widowControl/>
              <w:spacing w:beforeLines="0" w:before="0" w:afterLines="0" w:after="0" w:line="240" w:lineRule="auto"/>
              <w:jc w:val="center"/>
              <w:rPr>
                <w:rFonts w:cs="Times New Roman"/>
                <w:kern w:val="0"/>
                <w:sz w:val="20"/>
                <w:szCs w:val="20"/>
                <w:lang w:bidi="ar-SA"/>
              </w:rPr>
            </w:pPr>
            <w:r w:rsidRPr="00A16A16">
              <w:rPr>
                <w:rFonts w:cs="Times New Roman" w:hint="eastAsia"/>
                <w:kern w:val="0"/>
                <w:sz w:val="20"/>
                <w:szCs w:val="20"/>
                <w:lang w:bidi="ar-SA"/>
              </w:rPr>
              <w:t>Mean Emission Flux</w:t>
            </w:r>
          </w:p>
        </w:tc>
        <w:tc>
          <w:tcPr>
            <w:tcW w:w="2124" w:type="pct"/>
            <w:tcBorders>
              <w:bottom w:val="single" w:sz="4" w:space="0" w:color="auto"/>
              <w:right w:val="nil"/>
            </w:tcBorders>
            <w:noWrap/>
            <w:vAlign w:val="center"/>
            <w:hideMark/>
          </w:tcPr>
          <w:p w14:paraId="5E5F2A69" w14:textId="77777777" w:rsidR="00A16A16" w:rsidRPr="00A16A16" w:rsidRDefault="00A16A16" w:rsidP="00A16A16">
            <w:pPr>
              <w:widowControl/>
              <w:spacing w:beforeLines="0" w:before="0" w:afterLines="0" w:after="0" w:line="240" w:lineRule="auto"/>
              <w:jc w:val="center"/>
              <w:rPr>
                <w:rFonts w:cs="Times New Roman"/>
                <w:kern w:val="0"/>
                <w:sz w:val="20"/>
                <w:szCs w:val="20"/>
                <w:lang w:bidi="ar-SA"/>
              </w:rPr>
            </w:pPr>
            <w:r w:rsidRPr="00A16A16">
              <w:rPr>
                <w:rFonts w:cs="Times New Roman" w:hint="eastAsia"/>
                <w:kern w:val="0"/>
                <w:sz w:val="20"/>
                <w:szCs w:val="20"/>
                <w:lang w:bidi="ar-SA"/>
              </w:rPr>
              <w:t>Theil Sen Slope value</w:t>
            </w:r>
          </w:p>
        </w:tc>
      </w:tr>
      <w:tr w:rsidR="00A16A16" w:rsidRPr="00A16A16" w14:paraId="77077997" w14:textId="77777777" w:rsidTr="004A7EDC">
        <w:trPr>
          <w:trHeight w:val="288"/>
        </w:trPr>
        <w:tc>
          <w:tcPr>
            <w:tcW w:w="853" w:type="pct"/>
            <w:tcBorders>
              <w:bottom w:val="nil"/>
              <w:right w:val="nil"/>
            </w:tcBorders>
            <w:noWrap/>
            <w:vAlign w:val="center"/>
            <w:hideMark/>
          </w:tcPr>
          <w:p w14:paraId="6486638B"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BONA</w:t>
            </w:r>
          </w:p>
        </w:tc>
        <w:tc>
          <w:tcPr>
            <w:tcW w:w="2023" w:type="pct"/>
            <w:tcBorders>
              <w:left w:val="nil"/>
              <w:bottom w:val="nil"/>
            </w:tcBorders>
            <w:noWrap/>
            <w:vAlign w:val="center"/>
            <w:hideMark/>
          </w:tcPr>
          <w:p w14:paraId="12A5B705"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543.72</w:t>
            </w:r>
          </w:p>
        </w:tc>
        <w:tc>
          <w:tcPr>
            <w:tcW w:w="2124" w:type="pct"/>
            <w:tcBorders>
              <w:bottom w:val="nil"/>
              <w:right w:val="nil"/>
            </w:tcBorders>
            <w:noWrap/>
            <w:vAlign w:val="center"/>
            <w:hideMark/>
          </w:tcPr>
          <w:p w14:paraId="7A6B0764"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12.12</w:t>
            </w:r>
          </w:p>
        </w:tc>
      </w:tr>
      <w:tr w:rsidR="00A16A16" w:rsidRPr="00A16A16" w14:paraId="6ABACC0F" w14:textId="77777777" w:rsidTr="004A7EDC">
        <w:trPr>
          <w:trHeight w:val="288"/>
        </w:trPr>
        <w:tc>
          <w:tcPr>
            <w:tcW w:w="853" w:type="pct"/>
            <w:tcBorders>
              <w:top w:val="nil"/>
              <w:bottom w:val="nil"/>
              <w:right w:val="nil"/>
            </w:tcBorders>
            <w:noWrap/>
            <w:vAlign w:val="center"/>
            <w:hideMark/>
          </w:tcPr>
          <w:p w14:paraId="74D09634"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TENA</w:t>
            </w:r>
          </w:p>
        </w:tc>
        <w:tc>
          <w:tcPr>
            <w:tcW w:w="2023" w:type="pct"/>
            <w:tcBorders>
              <w:top w:val="nil"/>
              <w:left w:val="nil"/>
              <w:bottom w:val="nil"/>
            </w:tcBorders>
            <w:noWrap/>
            <w:vAlign w:val="center"/>
            <w:hideMark/>
          </w:tcPr>
          <w:p w14:paraId="011F4EF1"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114.04</w:t>
            </w:r>
          </w:p>
        </w:tc>
        <w:tc>
          <w:tcPr>
            <w:tcW w:w="2124" w:type="pct"/>
            <w:tcBorders>
              <w:top w:val="nil"/>
              <w:bottom w:val="nil"/>
              <w:right w:val="nil"/>
            </w:tcBorders>
            <w:noWrap/>
            <w:vAlign w:val="center"/>
            <w:hideMark/>
          </w:tcPr>
          <w:p w14:paraId="29242561"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2.67</w:t>
            </w:r>
          </w:p>
        </w:tc>
      </w:tr>
      <w:tr w:rsidR="00A16A16" w:rsidRPr="00A16A16" w14:paraId="06DAC69E" w14:textId="77777777" w:rsidTr="004A7EDC">
        <w:trPr>
          <w:trHeight w:val="288"/>
        </w:trPr>
        <w:tc>
          <w:tcPr>
            <w:tcW w:w="853" w:type="pct"/>
            <w:tcBorders>
              <w:top w:val="nil"/>
              <w:bottom w:val="nil"/>
              <w:right w:val="nil"/>
            </w:tcBorders>
            <w:noWrap/>
            <w:vAlign w:val="center"/>
            <w:hideMark/>
          </w:tcPr>
          <w:p w14:paraId="1B334E48"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proofErr w:type="spellStart"/>
            <w:r w:rsidRPr="00A16A16">
              <w:rPr>
                <w:rFonts w:cs="Times New Roman" w:hint="eastAsia"/>
                <w:color w:val="000000"/>
                <w:kern w:val="0"/>
                <w:sz w:val="20"/>
                <w:szCs w:val="20"/>
                <w:lang w:bidi="ar-SA"/>
              </w:rPr>
              <w:t>CEAM</w:t>
            </w:r>
            <w:proofErr w:type="spellEnd"/>
          </w:p>
        </w:tc>
        <w:tc>
          <w:tcPr>
            <w:tcW w:w="2023" w:type="pct"/>
            <w:tcBorders>
              <w:top w:val="nil"/>
              <w:left w:val="nil"/>
              <w:bottom w:val="nil"/>
            </w:tcBorders>
            <w:noWrap/>
            <w:vAlign w:val="center"/>
            <w:hideMark/>
          </w:tcPr>
          <w:p w14:paraId="1A4ECE77"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98.28</w:t>
            </w:r>
          </w:p>
        </w:tc>
        <w:tc>
          <w:tcPr>
            <w:tcW w:w="2124" w:type="pct"/>
            <w:tcBorders>
              <w:top w:val="nil"/>
              <w:bottom w:val="nil"/>
              <w:right w:val="nil"/>
            </w:tcBorders>
            <w:noWrap/>
            <w:vAlign w:val="center"/>
            <w:hideMark/>
          </w:tcPr>
          <w:p w14:paraId="5C536872"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-0.61</w:t>
            </w:r>
          </w:p>
        </w:tc>
      </w:tr>
      <w:tr w:rsidR="00A16A16" w:rsidRPr="00A16A16" w14:paraId="280B887C" w14:textId="77777777" w:rsidTr="004A7EDC">
        <w:trPr>
          <w:trHeight w:val="288"/>
        </w:trPr>
        <w:tc>
          <w:tcPr>
            <w:tcW w:w="853" w:type="pct"/>
            <w:tcBorders>
              <w:top w:val="nil"/>
              <w:bottom w:val="nil"/>
              <w:right w:val="nil"/>
            </w:tcBorders>
            <w:noWrap/>
            <w:vAlign w:val="center"/>
            <w:hideMark/>
          </w:tcPr>
          <w:p w14:paraId="12024FC7"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NHSA</w:t>
            </w:r>
          </w:p>
        </w:tc>
        <w:tc>
          <w:tcPr>
            <w:tcW w:w="2023" w:type="pct"/>
            <w:tcBorders>
              <w:top w:val="nil"/>
              <w:left w:val="nil"/>
              <w:bottom w:val="nil"/>
            </w:tcBorders>
            <w:noWrap/>
            <w:vAlign w:val="center"/>
            <w:hideMark/>
          </w:tcPr>
          <w:p w14:paraId="7DBB377E"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115.33</w:t>
            </w:r>
          </w:p>
        </w:tc>
        <w:tc>
          <w:tcPr>
            <w:tcW w:w="2124" w:type="pct"/>
            <w:tcBorders>
              <w:top w:val="nil"/>
              <w:bottom w:val="nil"/>
              <w:right w:val="nil"/>
            </w:tcBorders>
            <w:noWrap/>
            <w:vAlign w:val="center"/>
            <w:hideMark/>
          </w:tcPr>
          <w:p w14:paraId="124CD171"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1.06</w:t>
            </w:r>
          </w:p>
        </w:tc>
      </w:tr>
      <w:tr w:rsidR="00A16A16" w:rsidRPr="00A16A16" w14:paraId="65D4B83A" w14:textId="77777777" w:rsidTr="004A7EDC">
        <w:trPr>
          <w:trHeight w:val="288"/>
        </w:trPr>
        <w:tc>
          <w:tcPr>
            <w:tcW w:w="853" w:type="pct"/>
            <w:tcBorders>
              <w:top w:val="nil"/>
              <w:bottom w:val="nil"/>
              <w:right w:val="nil"/>
            </w:tcBorders>
            <w:noWrap/>
            <w:vAlign w:val="center"/>
            <w:hideMark/>
          </w:tcPr>
          <w:p w14:paraId="5D7FCBDF"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proofErr w:type="spellStart"/>
            <w:r w:rsidRPr="00A16A16">
              <w:rPr>
                <w:rFonts w:cs="Times New Roman" w:hint="eastAsia"/>
                <w:color w:val="000000"/>
                <w:kern w:val="0"/>
                <w:sz w:val="20"/>
                <w:szCs w:val="20"/>
                <w:lang w:bidi="ar-SA"/>
              </w:rPr>
              <w:t>SHSA</w:t>
            </w:r>
            <w:proofErr w:type="spellEnd"/>
          </w:p>
        </w:tc>
        <w:tc>
          <w:tcPr>
            <w:tcW w:w="2023" w:type="pct"/>
            <w:tcBorders>
              <w:top w:val="nil"/>
              <w:left w:val="nil"/>
              <w:bottom w:val="nil"/>
            </w:tcBorders>
            <w:noWrap/>
            <w:vAlign w:val="center"/>
            <w:hideMark/>
          </w:tcPr>
          <w:p w14:paraId="0ABD0727"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173.34</w:t>
            </w:r>
          </w:p>
        </w:tc>
        <w:tc>
          <w:tcPr>
            <w:tcW w:w="2124" w:type="pct"/>
            <w:tcBorders>
              <w:top w:val="nil"/>
              <w:bottom w:val="nil"/>
              <w:right w:val="nil"/>
            </w:tcBorders>
            <w:noWrap/>
            <w:vAlign w:val="center"/>
            <w:hideMark/>
          </w:tcPr>
          <w:p w14:paraId="10C80E2E"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1.24</w:t>
            </w:r>
          </w:p>
        </w:tc>
      </w:tr>
      <w:tr w:rsidR="00A16A16" w:rsidRPr="00A16A16" w14:paraId="2B3C8F7B" w14:textId="77777777" w:rsidTr="004A7EDC">
        <w:trPr>
          <w:trHeight w:val="288"/>
        </w:trPr>
        <w:tc>
          <w:tcPr>
            <w:tcW w:w="853" w:type="pct"/>
            <w:tcBorders>
              <w:top w:val="nil"/>
              <w:bottom w:val="nil"/>
              <w:right w:val="nil"/>
            </w:tcBorders>
            <w:noWrap/>
            <w:vAlign w:val="center"/>
            <w:hideMark/>
          </w:tcPr>
          <w:p w14:paraId="2CAC67C8"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EURO</w:t>
            </w:r>
          </w:p>
        </w:tc>
        <w:tc>
          <w:tcPr>
            <w:tcW w:w="2023" w:type="pct"/>
            <w:tcBorders>
              <w:top w:val="nil"/>
              <w:left w:val="nil"/>
              <w:bottom w:val="nil"/>
            </w:tcBorders>
            <w:noWrap/>
            <w:vAlign w:val="center"/>
            <w:hideMark/>
          </w:tcPr>
          <w:p w14:paraId="6D162DE8"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52.05</w:t>
            </w:r>
          </w:p>
        </w:tc>
        <w:tc>
          <w:tcPr>
            <w:tcW w:w="2124" w:type="pct"/>
            <w:tcBorders>
              <w:top w:val="nil"/>
              <w:bottom w:val="nil"/>
              <w:right w:val="nil"/>
            </w:tcBorders>
            <w:noWrap/>
            <w:vAlign w:val="center"/>
            <w:hideMark/>
          </w:tcPr>
          <w:p w14:paraId="06EC1DB6"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-0.02</w:t>
            </w:r>
          </w:p>
        </w:tc>
      </w:tr>
      <w:tr w:rsidR="00A16A16" w:rsidRPr="00A16A16" w14:paraId="1856C843" w14:textId="77777777" w:rsidTr="004A7EDC">
        <w:trPr>
          <w:trHeight w:val="288"/>
        </w:trPr>
        <w:tc>
          <w:tcPr>
            <w:tcW w:w="853" w:type="pct"/>
            <w:tcBorders>
              <w:top w:val="nil"/>
              <w:bottom w:val="nil"/>
              <w:right w:val="nil"/>
            </w:tcBorders>
            <w:noWrap/>
            <w:vAlign w:val="center"/>
            <w:hideMark/>
          </w:tcPr>
          <w:p w14:paraId="4D593CA5"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MIDE</w:t>
            </w:r>
          </w:p>
        </w:tc>
        <w:tc>
          <w:tcPr>
            <w:tcW w:w="2023" w:type="pct"/>
            <w:tcBorders>
              <w:top w:val="nil"/>
              <w:left w:val="nil"/>
              <w:bottom w:val="nil"/>
            </w:tcBorders>
            <w:noWrap/>
            <w:vAlign w:val="center"/>
            <w:hideMark/>
          </w:tcPr>
          <w:p w14:paraId="73787369"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77.65</w:t>
            </w:r>
          </w:p>
        </w:tc>
        <w:tc>
          <w:tcPr>
            <w:tcW w:w="2124" w:type="pct"/>
            <w:tcBorders>
              <w:top w:val="nil"/>
              <w:bottom w:val="nil"/>
              <w:right w:val="nil"/>
            </w:tcBorders>
            <w:noWrap/>
            <w:vAlign w:val="center"/>
            <w:hideMark/>
          </w:tcPr>
          <w:p w14:paraId="6EF06B71"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0.64</w:t>
            </w:r>
          </w:p>
        </w:tc>
      </w:tr>
      <w:tr w:rsidR="00A16A16" w:rsidRPr="00A16A16" w14:paraId="5DD7DB72" w14:textId="77777777" w:rsidTr="004A7EDC">
        <w:trPr>
          <w:trHeight w:val="288"/>
        </w:trPr>
        <w:tc>
          <w:tcPr>
            <w:tcW w:w="853" w:type="pct"/>
            <w:tcBorders>
              <w:top w:val="nil"/>
              <w:bottom w:val="nil"/>
              <w:right w:val="nil"/>
            </w:tcBorders>
            <w:noWrap/>
            <w:vAlign w:val="center"/>
            <w:hideMark/>
          </w:tcPr>
          <w:p w14:paraId="544D6FB5"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proofErr w:type="spellStart"/>
            <w:r w:rsidRPr="00A16A16">
              <w:rPr>
                <w:rFonts w:cs="Times New Roman" w:hint="eastAsia"/>
                <w:color w:val="000000"/>
                <w:kern w:val="0"/>
                <w:sz w:val="20"/>
                <w:szCs w:val="20"/>
                <w:lang w:bidi="ar-SA"/>
              </w:rPr>
              <w:t>NHAF</w:t>
            </w:r>
            <w:proofErr w:type="spellEnd"/>
          </w:p>
        </w:tc>
        <w:tc>
          <w:tcPr>
            <w:tcW w:w="2023" w:type="pct"/>
            <w:tcBorders>
              <w:top w:val="nil"/>
              <w:left w:val="nil"/>
              <w:bottom w:val="nil"/>
            </w:tcBorders>
            <w:noWrap/>
            <w:vAlign w:val="center"/>
            <w:hideMark/>
          </w:tcPr>
          <w:p w14:paraId="39C34387"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266.74</w:t>
            </w:r>
          </w:p>
        </w:tc>
        <w:tc>
          <w:tcPr>
            <w:tcW w:w="2124" w:type="pct"/>
            <w:tcBorders>
              <w:top w:val="nil"/>
              <w:bottom w:val="nil"/>
              <w:right w:val="nil"/>
            </w:tcBorders>
            <w:noWrap/>
            <w:vAlign w:val="center"/>
            <w:hideMark/>
          </w:tcPr>
          <w:p w14:paraId="1302648B"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0.37</w:t>
            </w:r>
          </w:p>
        </w:tc>
      </w:tr>
      <w:tr w:rsidR="00A16A16" w:rsidRPr="00A16A16" w14:paraId="3C4A3067" w14:textId="77777777" w:rsidTr="004A7EDC">
        <w:trPr>
          <w:trHeight w:val="288"/>
        </w:trPr>
        <w:tc>
          <w:tcPr>
            <w:tcW w:w="853" w:type="pct"/>
            <w:tcBorders>
              <w:top w:val="nil"/>
              <w:bottom w:val="nil"/>
              <w:right w:val="nil"/>
            </w:tcBorders>
            <w:noWrap/>
            <w:vAlign w:val="center"/>
            <w:hideMark/>
          </w:tcPr>
          <w:p w14:paraId="3D0A9209"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SHAF</w:t>
            </w:r>
          </w:p>
        </w:tc>
        <w:tc>
          <w:tcPr>
            <w:tcW w:w="2023" w:type="pct"/>
            <w:tcBorders>
              <w:top w:val="nil"/>
              <w:left w:val="nil"/>
              <w:bottom w:val="nil"/>
            </w:tcBorders>
            <w:noWrap/>
            <w:vAlign w:val="center"/>
            <w:hideMark/>
          </w:tcPr>
          <w:p w14:paraId="59913324"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330.52</w:t>
            </w:r>
          </w:p>
        </w:tc>
        <w:tc>
          <w:tcPr>
            <w:tcW w:w="2124" w:type="pct"/>
            <w:tcBorders>
              <w:top w:val="nil"/>
              <w:bottom w:val="nil"/>
              <w:right w:val="nil"/>
            </w:tcBorders>
            <w:noWrap/>
            <w:vAlign w:val="center"/>
            <w:hideMark/>
          </w:tcPr>
          <w:p w14:paraId="3263DE0C"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1.24</w:t>
            </w:r>
          </w:p>
        </w:tc>
      </w:tr>
      <w:tr w:rsidR="00A16A16" w:rsidRPr="00A16A16" w14:paraId="0A6CEB71" w14:textId="77777777" w:rsidTr="004A7EDC">
        <w:trPr>
          <w:trHeight w:val="288"/>
        </w:trPr>
        <w:tc>
          <w:tcPr>
            <w:tcW w:w="853" w:type="pct"/>
            <w:tcBorders>
              <w:top w:val="nil"/>
              <w:bottom w:val="nil"/>
              <w:right w:val="nil"/>
            </w:tcBorders>
            <w:noWrap/>
            <w:vAlign w:val="center"/>
            <w:hideMark/>
          </w:tcPr>
          <w:p w14:paraId="052FA22F"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BOAS</w:t>
            </w:r>
          </w:p>
        </w:tc>
        <w:tc>
          <w:tcPr>
            <w:tcW w:w="2023" w:type="pct"/>
            <w:tcBorders>
              <w:top w:val="nil"/>
              <w:left w:val="nil"/>
              <w:bottom w:val="nil"/>
            </w:tcBorders>
            <w:noWrap/>
            <w:vAlign w:val="center"/>
            <w:hideMark/>
          </w:tcPr>
          <w:p w14:paraId="0F6D927C"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371.02</w:t>
            </w:r>
          </w:p>
        </w:tc>
        <w:tc>
          <w:tcPr>
            <w:tcW w:w="2124" w:type="pct"/>
            <w:tcBorders>
              <w:top w:val="nil"/>
              <w:bottom w:val="nil"/>
              <w:right w:val="nil"/>
            </w:tcBorders>
            <w:noWrap/>
            <w:vAlign w:val="center"/>
            <w:hideMark/>
          </w:tcPr>
          <w:p w14:paraId="7999555E"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15.71</w:t>
            </w:r>
          </w:p>
        </w:tc>
      </w:tr>
      <w:tr w:rsidR="00A16A16" w:rsidRPr="00A16A16" w14:paraId="6529B181" w14:textId="77777777" w:rsidTr="004A7EDC">
        <w:trPr>
          <w:trHeight w:val="288"/>
        </w:trPr>
        <w:tc>
          <w:tcPr>
            <w:tcW w:w="853" w:type="pct"/>
            <w:tcBorders>
              <w:top w:val="nil"/>
              <w:bottom w:val="nil"/>
              <w:right w:val="nil"/>
            </w:tcBorders>
            <w:noWrap/>
            <w:vAlign w:val="center"/>
            <w:hideMark/>
          </w:tcPr>
          <w:p w14:paraId="0F90FDEF"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CEAS</w:t>
            </w:r>
          </w:p>
        </w:tc>
        <w:tc>
          <w:tcPr>
            <w:tcW w:w="2023" w:type="pct"/>
            <w:tcBorders>
              <w:top w:val="nil"/>
              <w:left w:val="nil"/>
              <w:bottom w:val="nil"/>
            </w:tcBorders>
            <w:noWrap/>
            <w:vAlign w:val="center"/>
            <w:hideMark/>
          </w:tcPr>
          <w:p w14:paraId="486A6FEC"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56.89</w:t>
            </w:r>
          </w:p>
        </w:tc>
        <w:tc>
          <w:tcPr>
            <w:tcW w:w="2124" w:type="pct"/>
            <w:tcBorders>
              <w:top w:val="nil"/>
              <w:bottom w:val="nil"/>
              <w:right w:val="nil"/>
            </w:tcBorders>
            <w:noWrap/>
            <w:vAlign w:val="center"/>
            <w:hideMark/>
          </w:tcPr>
          <w:p w14:paraId="3654901E"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-1.72</w:t>
            </w:r>
          </w:p>
        </w:tc>
      </w:tr>
      <w:tr w:rsidR="00A16A16" w:rsidRPr="00A16A16" w14:paraId="2FDD8A2C" w14:textId="77777777" w:rsidTr="004A7EDC">
        <w:trPr>
          <w:trHeight w:val="288"/>
        </w:trPr>
        <w:tc>
          <w:tcPr>
            <w:tcW w:w="853" w:type="pct"/>
            <w:tcBorders>
              <w:top w:val="nil"/>
              <w:bottom w:val="nil"/>
              <w:right w:val="nil"/>
            </w:tcBorders>
            <w:noWrap/>
            <w:vAlign w:val="center"/>
            <w:hideMark/>
          </w:tcPr>
          <w:p w14:paraId="0B8B7D34"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SEAS</w:t>
            </w:r>
          </w:p>
        </w:tc>
        <w:tc>
          <w:tcPr>
            <w:tcW w:w="2023" w:type="pct"/>
            <w:tcBorders>
              <w:top w:val="nil"/>
              <w:left w:val="nil"/>
              <w:bottom w:val="nil"/>
            </w:tcBorders>
            <w:noWrap/>
            <w:vAlign w:val="center"/>
            <w:hideMark/>
          </w:tcPr>
          <w:p w14:paraId="014EF77B"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137.16</w:t>
            </w:r>
          </w:p>
        </w:tc>
        <w:tc>
          <w:tcPr>
            <w:tcW w:w="2124" w:type="pct"/>
            <w:tcBorders>
              <w:top w:val="nil"/>
              <w:bottom w:val="nil"/>
              <w:right w:val="nil"/>
            </w:tcBorders>
            <w:noWrap/>
            <w:vAlign w:val="center"/>
            <w:hideMark/>
          </w:tcPr>
          <w:p w14:paraId="4D78D704"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-2.08</w:t>
            </w:r>
          </w:p>
        </w:tc>
      </w:tr>
      <w:tr w:rsidR="00A16A16" w:rsidRPr="00A16A16" w14:paraId="5B6350CE" w14:textId="77777777" w:rsidTr="004A7EDC">
        <w:trPr>
          <w:trHeight w:val="288"/>
        </w:trPr>
        <w:tc>
          <w:tcPr>
            <w:tcW w:w="853" w:type="pct"/>
            <w:tcBorders>
              <w:top w:val="nil"/>
              <w:bottom w:val="nil"/>
              <w:right w:val="nil"/>
            </w:tcBorders>
            <w:noWrap/>
            <w:vAlign w:val="center"/>
            <w:hideMark/>
          </w:tcPr>
          <w:p w14:paraId="610A977E"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EQAS</w:t>
            </w:r>
          </w:p>
        </w:tc>
        <w:tc>
          <w:tcPr>
            <w:tcW w:w="2023" w:type="pct"/>
            <w:tcBorders>
              <w:top w:val="nil"/>
              <w:left w:val="nil"/>
              <w:bottom w:val="nil"/>
            </w:tcBorders>
            <w:noWrap/>
            <w:vAlign w:val="center"/>
            <w:hideMark/>
          </w:tcPr>
          <w:p w14:paraId="6E62B0FC"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163.81</w:t>
            </w:r>
          </w:p>
        </w:tc>
        <w:tc>
          <w:tcPr>
            <w:tcW w:w="2124" w:type="pct"/>
            <w:tcBorders>
              <w:top w:val="nil"/>
              <w:bottom w:val="nil"/>
              <w:right w:val="nil"/>
            </w:tcBorders>
            <w:noWrap/>
            <w:vAlign w:val="center"/>
            <w:hideMark/>
          </w:tcPr>
          <w:p w14:paraId="5B2CA92F"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-4.78</w:t>
            </w:r>
          </w:p>
        </w:tc>
      </w:tr>
      <w:tr w:rsidR="00A16A16" w:rsidRPr="00A16A16" w14:paraId="332E32B0" w14:textId="77777777" w:rsidTr="004A7EDC">
        <w:trPr>
          <w:trHeight w:val="288"/>
        </w:trPr>
        <w:tc>
          <w:tcPr>
            <w:tcW w:w="853" w:type="pct"/>
            <w:tcBorders>
              <w:top w:val="nil"/>
              <w:right w:val="nil"/>
            </w:tcBorders>
            <w:noWrap/>
            <w:vAlign w:val="center"/>
            <w:hideMark/>
          </w:tcPr>
          <w:p w14:paraId="0C1FDBC9"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AUST</w:t>
            </w:r>
          </w:p>
        </w:tc>
        <w:tc>
          <w:tcPr>
            <w:tcW w:w="2023" w:type="pct"/>
            <w:tcBorders>
              <w:top w:val="nil"/>
              <w:left w:val="nil"/>
            </w:tcBorders>
            <w:noWrap/>
            <w:vAlign w:val="center"/>
            <w:hideMark/>
          </w:tcPr>
          <w:p w14:paraId="3D3F658B"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195.02</w:t>
            </w:r>
          </w:p>
        </w:tc>
        <w:tc>
          <w:tcPr>
            <w:tcW w:w="2124" w:type="pct"/>
            <w:tcBorders>
              <w:top w:val="nil"/>
              <w:right w:val="nil"/>
            </w:tcBorders>
            <w:noWrap/>
            <w:vAlign w:val="center"/>
            <w:hideMark/>
          </w:tcPr>
          <w:p w14:paraId="44274FD3"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-1.30</w:t>
            </w:r>
          </w:p>
        </w:tc>
      </w:tr>
      <w:bookmarkEnd w:id="15"/>
    </w:tbl>
    <w:p w14:paraId="0E5B4609" w14:textId="77777777" w:rsidR="00A16A16" w:rsidRDefault="00A16A16" w:rsidP="00A16A16">
      <w:pPr>
        <w:spacing w:beforeLines="0" w:before="0" w:afterLines="0" w:after="0" w:line="288" w:lineRule="auto"/>
        <w:rPr>
          <w:rFonts w:cs="Times New Roman"/>
          <w:b/>
          <w:bCs/>
          <w:sz w:val="22"/>
          <w:szCs w:val="24"/>
          <w:lang w:bidi="ar-SA"/>
          <w14:ligatures w14:val="standardContextual"/>
        </w:rPr>
      </w:pPr>
    </w:p>
    <w:p w14:paraId="27A66A32" w14:textId="77777777" w:rsidR="00A16A16" w:rsidRDefault="00A16A16" w:rsidP="00A16A16">
      <w:pPr>
        <w:spacing w:beforeLines="0" w:before="0" w:afterLines="0" w:after="0" w:line="288" w:lineRule="auto"/>
        <w:rPr>
          <w:rFonts w:cs="Times New Roman"/>
          <w:b/>
          <w:bCs/>
          <w:sz w:val="22"/>
          <w:szCs w:val="24"/>
          <w:lang w:bidi="ar-SA"/>
          <w14:ligatures w14:val="standardContextual"/>
        </w:rPr>
      </w:pPr>
    </w:p>
    <w:p w14:paraId="76E56887" w14:textId="77777777" w:rsidR="00A16A16" w:rsidRPr="00A16A16" w:rsidRDefault="00A16A16" w:rsidP="00A16A16">
      <w:pPr>
        <w:spacing w:beforeLines="0" w:before="0" w:afterLines="0" w:after="0" w:line="288" w:lineRule="auto"/>
        <w:rPr>
          <w:rFonts w:cs="Times New Roman"/>
          <w:b/>
          <w:bCs/>
          <w:sz w:val="22"/>
          <w:szCs w:val="24"/>
          <w:lang w:bidi="ar-SA"/>
          <w14:ligatures w14:val="standardContextual"/>
        </w:rPr>
      </w:pPr>
    </w:p>
    <w:p w14:paraId="5E9A6E4E" w14:textId="77777777" w:rsidR="00A16A16" w:rsidRPr="00A16A16" w:rsidRDefault="00A16A16" w:rsidP="00A16A16">
      <w:pPr>
        <w:spacing w:beforeLines="0" w:before="0" w:afterLines="0" w:after="0" w:line="240" w:lineRule="auto"/>
        <w:jc w:val="center"/>
        <w:rPr>
          <w:rFonts w:eastAsiaTheme="minorEastAsia" w:cs="Times New Roman"/>
          <w:b/>
          <w:sz w:val="20"/>
          <w:szCs w:val="20"/>
          <w:lang w:bidi="ar-SA"/>
          <w14:ligatures w14:val="standardContextual"/>
        </w:rPr>
      </w:pPr>
      <w:bookmarkStart w:id="16" w:name="_Hlk217573554"/>
      <w:r w:rsidRPr="00A16A16">
        <w:rPr>
          <w:rFonts w:eastAsia="Times New Roman" w:cs="Times New Roman"/>
          <w:b/>
          <w:sz w:val="20"/>
          <w:szCs w:val="20"/>
          <w:lang w:bidi="ar-SA"/>
          <w14:ligatures w14:val="standardContextual"/>
        </w:rPr>
        <w:t xml:space="preserve">Table </w:t>
      </w:r>
      <w:proofErr w:type="spellStart"/>
      <w:r w:rsidRPr="00A16A16">
        <w:rPr>
          <w:rFonts w:eastAsia="Times New Roman" w:cs="Times New Roman"/>
          <w:b/>
          <w:sz w:val="20"/>
          <w:szCs w:val="20"/>
          <w:lang w:bidi="ar-SA"/>
          <w14:ligatures w14:val="standardContextual"/>
        </w:rPr>
        <w:t>S</w:t>
      </w:r>
      <w:r w:rsidRPr="00A16A16">
        <w:rPr>
          <w:rFonts w:eastAsiaTheme="minorEastAsia" w:cs="Times New Roman" w:hint="eastAsia"/>
          <w:b/>
          <w:sz w:val="20"/>
          <w:szCs w:val="20"/>
          <w:lang w:bidi="ar-SA"/>
          <w14:ligatures w14:val="standardContextual"/>
        </w:rPr>
        <w:t>7</w:t>
      </w:r>
      <w:proofErr w:type="spellEnd"/>
      <w:r w:rsidRPr="00A16A16">
        <w:rPr>
          <w:rFonts w:eastAsia="Times New Roman" w:cs="Times New Roman"/>
          <w:b/>
          <w:sz w:val="20"/>
          <w:szCs w:val="20"/>
          <w:lang w:bidi="ar-SA"/>
          <w14:ligatures w14:val="standardContextual"/>
        </w:rPr>
        <w:t>. Mean annual CO</w:t>
      </w:r>
      <w:r w:rsidRPr="00A16A16">
        <w:rPr>
          <w:rFonts w:eastAsiaTheme="minorEastAsia" w:cs="Times New Roman" w:hint="eastAsia"/>
          <w:b/>
          <w:sz w:val="20"/>
          <w:szCs w:val="20"/>
          <w:vertAlign w:val="subscript"/>
          <w:lang w:bidi="ar-SA"/>
          <w14:ligatures w14:val="standardContextual"/>
        </w:rPr>
        <w:t>2</w:t>
      </w:r>
      <w:r w:rsidRPr="00A16A16">
        <w:rPr>
          <w:rFonts w:eastAsia="Times New Roman" w:cs="Times New Roman"/>
          <w:b/>
          <w:sz w:val="20"/>
          <w:szCs w:val="20"/>
          <w:lang w:bidi="ar-SA"/>
          <w14:ligatures w14:val="standardContextual"/>
        </w:rPr>
        <w:t xml:space="preserve"> emission fluxes and their corresponding Theil-Sen slope trends across 14 regions from 2003 to 20</w:t>
      </w:r>
      <w:r w:rsidRPr="00A16A16">
        <w:rPr>
          <w:rFonts w:eastAsiaTheme="minorEastAsia" w:cs="Times New Roman" w:hint="eastAsia"/>
          <w:b/>
          <w:sz w:val="20"/>
          <w:szCs w:val="20"/>
          <w:lang w:bidi="ar-SA"/>
          <w14:ligatures w14:val="standardContextual"/>
        </w:rPr>
        <w:t>1</w:t>
      </w:r>
      <w:r w:rsidRPr="00A16A16">
        <w:rPr>
          <w:rFonts w:eastAsia="Times New Roman" w:cs="Times New Roman"/>
          <w:b/>
          <w:sz w:val="20"/>
          <w:szCs w:val="20"/>
          <w:lang w:bidi="ar-SA"/>
          <w14:ligatures w14:val="standardContextual"/>
        </w:rPr>
        <w:t xml:space="preserve">3. (unit: </w:t>
      </w:r>
      <w:r w:rsidRPr="00A16A16">
        <w:rPr>
          <w:rFonts w:eastAsiaTheme="minorEastAsia" w:cs="Times New Roman" w:hint="eastAsia"/>
          <w:b/>
          <w:sz w:val="20"/>
          <w:szCs w:val="20"/>
          <w:lang w:bidi="ar-SA"/>
          <w14:ligatures w14:val="standardContextual"/>
        </w:rPr>
        <w:t>g m</w:t>
      </w:r>
      <w:r w:rsidRPr="00A16A16">
        <w:rPr>
          <w:rFonts w:eastAsiaTheme="minorEastAsia" w:cs="Times New Roman" w:hint="eastAsia"/>
          <w:b/>
          <w:sz w:val="20"/>
          <w:szCs w:val="20"/>
          <w:vertAlign w:val="superscript"/>
          <w:lang w:bidi="ar-SA"/>
          <w14:ligatures w14:val="standardContextual"/>
        </w:rPr>
        <w:t>-2</w:t>
      </w:r>
      <w:r w:rsidRPr="00A16A16">
        <w:rPr>
          <w:rFonts w:eastAsia="Times New Roman" w:cs="Times New Roman"/>
          <w:b/>
          <w:sz w:val="20"/>
          <w:szCs w:val="20"/>
          <w:lang w:bidi="ar-SA"/>
          <w14:ligatures w14:val="standardContextual"/>
        </w:rPr>
        <w:t xml:space="preserve">). </w:t>
      </w:r>
    </w:p>
    <w:tbl>
      <w:tblPr>
        <w:tblW w:w="5000" w:type="pct"/>
        <w:tblBorders>
          <w:top w:val="single" w:sz="4" w:space="0" w:color="auto"/>
          <w:bottom w:val="single" w:sz="4" w:space="0" w:color="auto"/>
          <w:insideH w:val="single" w:sz="4" w:space="0" w:color="auto"/>
        </w:tblBorders>
        <w:tblLook w:val="04A0" w:firstRow="1" w:lastRow="0" w:firstColumn="1" w:lastColumn="0" w:noHBand="0" w:noVBand="1"/>
      </w:tblPr>
      <w:tblGrid>
        <w:gridCol w:w="1417"/>
        <w:gridCol w:w="3361"/>
        <w:gridCol w:w="3528"/>
      </w:tblGrid>
      <w:tr w:rsidR="00A16A16" w:rsidRPr="00A16A16" w14:paraId="56E9B687" w14:textId="77777777" w:rsidTr="004A7EDC">
        <w:trPr>
          <w:trHeight w:val="288"/>
        </w:trPr>
        <w:tc>
          <w:tcPr>
            <w:tcW w:w="853" w:type="pct"/>
            <w:tcBorders>
              <w:bottom w:val="single" w:sz="4" w:space="0" w:color="auto"/>
              <w:right w:val="nil"/>
            </w:tcBorders>
            <w:noWrap/>
            <w:vAlign w:val="center"/>
            <w:hideMark/>
          </w:tcPr>
          <w:bookmarkEnd w:id="16"/>
          <w:p w14:paraId="65869886" w14:textId="77777777" w:rsidR="00A16A16" w:rsidRPr="00A16A16" w:rsidRDefault="00A16A16" w:rsidP="00A16A16">
            <w:pPr>
              <w:widowControl/>
              <w:spacing w:beforeLines="0" w:before="0" w:afterLines="0" w:after="0" w:line="240" w:lineRule="auto"/>
              <w:jc w:val="center"/>
              <w:rPr>
                <w:rFonts w:cs="Times New Roman"/>
                <w:kern w:val="0"/>
                <w:sz w:val="20"/>
                <w:szCs w:val="20"/>
                <w:lang w:bidi="ar-SA"/>
              </w:rPr>
            </w:pPr>
            <w:r w:rsidRPr="00A16A16">
              <w:rPr>
                <w:rFonts w:cs="Times New Roman" w:hint="eastAsia"/>
                <w:kern w:val="0"/>
                <w:sz w:val="20"/>
                <w:szCs w:val="20"/>
                <w:lang w:bidi="ar-SA"/>
              </w:rPr>
              <w:t>Region</w:t>
            </w:r>
          </w:p>
        </w:tc>
        <w:tc>
          <w:tcPr>
            <w:tcW w:w="2023" w:type="pct"/>
            <w:tcBorders>
              <w:left w:val="nil"/>
              <w:bottom w:val="single" w:sz="4" w:space="0" w:color="auto"/>
            </w:tcBorders>
            <w:noWrap/>
            <w:vAlign w:val="center"/>
            <w:hideMark/>
          </w:tcPr>
          <w:p w14:paraId="779645FC" w14:textId="77777777" w:rsidR="00A16A16" w:rsidRPr="00A16A16" w:rsidRDefault="00A16A16" w:rsidP="00A16A16">
            <w:pPr>
              <w:widowControl/>
              <w:spacing w:beforeLines="0" w:before="0" w:afterLines="0" w:after="0" w:line="240" w:lineRule="auto"/>
              <w:jc w:val="center"/>
              <w:rPr>
                <w:rFonts w:cs="Times New Roman"/>
                <w:kern w:val="0"/>
                <w:sz w:val="20"/>
                <w:szCs w:val="20"/>
                <w:lang w:bidi="ar-SA"/>
              </w:rPr>
            </w:pPr>
            <w:r w:rsidRPr="00A16A16">
              <w:rPr>
                <w:rFonts w:cs="Times New Roman"/>
                <w:kern w:val="0"/>
                <w:sz w:val="20"/>
                <w:szCs w:val="20"/>
                <w:lang w:bidi="ar-SA"/>
              </w:rPr>
              <w:t>Mean Emission Flux</w:t>
            </w:r>
          </w:p>
        </w:tc>
        <w:tc>
          <w:tcPr>
            <w:tcW w:w="2124" w:type="pct"/>
            <w:tcBorders>
              <w:bottom w:val="single" w:sz="4" w:space="0" w:color="auto"/>
              <w:right w:val="nil"/>
            </w:tcBorders>
            <w:noWrap/>
            <w:vAlign w:val="center"/>
            <w:hideMark/>
          </w:tcPr>
          <w:p w14:paraId="5B07D7AC" w14:textId="77777777" w:rsidR="00A16A16" w:rsidRPr="00A16A16" w:rsidRDefault="00A16A16" w:rsidP="00A16A16">
            <w:pPr>
              <w:widowControl/>
              <w:spacing w:beforeLines="0" w:before="0" w:afterLines="0" w:after="0" w:line="240" w:lineRule="auto"/>
              <w:jc w:val="center"/>
              <w:rPr>
                <w:rFonts w:cs="Times New Roman"/>
                <w:kern w:val="0"/>
                <w:sz w:val="20"/>
                <w:szCs w:val="20"/>
                <w:lang w:bidi="ar-SA"/>
              </w:rPr>
            </w:pPr>
            <w:r w:rsidRPr="00A16A16">
              <w:rPr>
                <w:rFonts w:cs="Times New Roman"/>
                <w:kern w:val="0"/>
                <w:sz w:val="20"/>
                <w:szCs w:val="20"/>
                <w:lang w:bidi="ar-SA"/>
              </w:rPr>
              <w:t>Theil Sen Slope value</w:t>
            </w:r>
          </w:p>
        </w:tc>
      </w:tr>
      <w:tr w:rsidR="00A16A16" w:rsidRPr="00A16A16" w14:paraId="532ECAD8" w14:textId="77777777" w:rsidTr="004A7EDC">
        <w:trPr>
          <w:trHeight w:val="288"/>
        </w:trPr>
        <w:tc>
          <w:tcPr>
            <w:tcW w:w="853" w:type="pct"/>
            <w:tcBorders>
              <w:bottom w:val="nil"/>
              <w:right w:val="nil"/>
            </w:tcBorders>
            <w:noWrap/>
            <w:vAlign w:val="center"/>
            <w:hideMark/>
          </w:tcPr>
          <w:p w14:paraId="5F0C3919"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BONA</w:t>
            </w:r>
          </w:p>
        </w:tc>
        <w:tc>
          <w:tcPr>
            <w:tcW w:w="2023" w:type="pct"/>
            <w:tcBorders>
              <w:left w:val="nil"/>
              <w:bottom w:val="nil"/>
            </w:tcBorders>
            <w:noWrap/>
            <w:vAlign w:val="center"/>
            <w:hideMark/>
          </w:tcPr>
          <w:p w14:paraId="72F76F09"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418.62</w:t>
            </w:r>
          </w:p>
        </w:tc>
        <w:tc>
          <w:tcPr>
            <w:tcW w:w="2124" w:type="pct"/>
            <w:tcBorders>
              <w:bottom w:val="nil"/>
              <w:right w:val="nil"/>
            </w:tcBorders>
            <w:noWrap/>
            <w:vAlign w:val="center"/>
            <w:hideMark/>
          </w:tcPr>
          <w:p w14:paraId="196BAF3F"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-4.65</w:t>
            </w:r>
          </w:p>
        </w:tc>
      </w:tr>
      <w:tr w:rsidR="00A16A16" w:rsidRPr="00A16A16" w14:paraId="62B92890" w14:textId="77777777" w:rsidTr="004A7EDC">
        <w:trPr>
          <w:trHeight w:val="288"/>
        </w:trPr>
        <w:tc>
          <w:tcPr>
            <w:tcW w:w="853" w:type="pct"/>
            <w:tcBorders>
              <w:top w:val="nil"/>
              <w:bottom w:val="nil"/>
              <w:right w:val="nil"/>
            </w:tcBorders>
            <w:noWrap/>
            <w:vAlign w:val="center"/>
            <w:hideMark/>
          </w:tcPr>
          <w:p w14:paraId="45289AD5"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TENA</w:t>
            </w:r>
          </w:p>
        </w:tc>
        <w:tc>
          <w:tcPr>
            <w:tcW w:w="2023" w:type="pct"/>
            <w:tcBorders>
              <w:top w:val="nil"/>
              <w:left w:val="nil"/>
              <w:bottom w:val="nil"/>
            </w:tcBorders>
            <w:noWrap/>
            <w:vAlign w:val="center"/>
            <w:hideMark/>
          </w:tcPr>
          <w:p w14:paraId="41C8B977"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99.06</w:t>
            </w:r>
          </w:p>
        </w:tc>
        <w:tc>
          <w:tcPr>
            <w:tcW w:w="2124" w:type="pct"/>
            <w:tcBorders>
              <w:top w:val="nil"/>
              <w:bottom w:val="nil"/>
              <w:right w:val="nil"/>
            </w:tcBorders>
            <w:noWrap/>
            <w:vAlign w:val="center"/>
            <w:hideMark/>
          </w:tcPr>
          <w:p w14:paraId="4C7FED23"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0.73</w:t>
            </w:r>
          </w:p>
        </w:tc>
      </w:tr>
      <w:tr w:rsidR="00A16A16" w:rsidRPr="00A16A16" w14:paraId="69D3D137" w14:textId="77777777" w:rsidTr="004A7EDC">
        <w:trPr>
          <w:trHeight w:val="288"/>
        </w:trPr>
        <w:tc>
          <w:tcPr>
            <w:tcW w:w="853" w:type="pct"/>
            <w:tcBorders>
              <w:top w:val="nil"/>
              <w:bottom w:val="nil"/>
              <w:right w:val="nil"/>
            </w:tcBorders>
            <w:noWrap/>
            <w:vAlign w:val="center"/>
            <w:hideMark/>
          </w:tcPr>
          <w:p w14:paraId="7455F5C6"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proofErr w:type="spellStart"/>
            <w:r w:rsidRPr="00A16A16">
              <w:rPr>
                <w:rFonts w:cs="Times New Roman" w:hint="eastAsia"/>
                <w:color w:val="000000"/>
                <w:kern w:val="0"/>
                <w:sz w:val="20"/>
                <w:szCs w:val="20"/>
                <w:lang w:bidi="ar-SA"/>
              </w:rPr>
              <w:t>CEAM</w:t>
            </w:r>
            <w:proofErr w:type="spellEnd"/>
          </w:p>
        </w:tc>
        <w:tc>
          <w:tcPr>
            <w:tcW w:w="2023" w:type="pct"/>
            <w:tcBorders>
              <w:top w:val="nil"/>
              <w:left w:val="nil"/>
              <w:bottom w:val="nil"/>
            </w:tcBorders>
            <w:noWrap/>
            <w:vAlign w:val="center"/>
            <w:hideMark/>
          </w:tcPr>
          <w:p w14:paraId="20C2A87D"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103.17</w:t>
            </w:r>
          </w:p>
        </w:tc>
        <w:tc>
          <w:tcPr>
            <w:tcW w:w="2124" w:type="pct"/>
            <w:tcBorders>
              <w:top w:val="nil"/>
              <w:bottom w:val="nil"/>
              <w:right w:val="nil"/>
            </w:tcBorders>
            <w:noWrap/>
            <w:vAlign w:val="center"/>
            <w:hideMark/>
          </w:tcPr>
          <w:p w14:paraId="66C68B1D"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-0.10</w:t>
            </w:r>
          </w:p>
        </w:tc>
      </w:tr>
      <w:tr w:rsidR="00A16A16" w:rsidRPr="00A16A16" w14:paraId="0F9109A4" w14:textId="77777777" w:rsidTr="004A7EDC">
        <w:trPr>
          <w:trHeight w:val="288"/>
        </w:trPr>
        <w:tc>
          <w:tcPr>
            <w:tcW w:w="853" w:type="pct"/>
            <w:tcBorders>
              <w:top w:val="nil"/>
              <w:bottom w:val="nil"/>
              <w:right w:val="nil"/>
            </w:tcBorders>
            <w:noWrap/>
            <w:vAlign w:val="center"/>
            <w:hideMark/>
          </w:tcPr>
          <w:p w14:paraId="7E0E2A94"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NHSA</w:t>
            </w:r>
          </w:p>
        </w:tc>
        <w:tc>
          <w:tcPr>
            <w:tcW w:w="2023" w:type="pct"/>
            <w:tcBorders>
              <w:top w:val="nil"/>
              <w:left w:val="nil"/>
              <w:bottom w:val="nil"/>
            </w:tcBorders>
            <w:noWrap/>
            <w:vAlign w:val="center"/>
            <w:hideMark/>
          </w:tcPr>
          <w:p w14:paraId="00847CC9"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105.58</w:t>
            </w:r>
          </w:p>
        </w:tc>
        <w:tc>
          <w:tcPr>
            <w:tcW w:w="2124" w:type="pct"/>
            <w:tcBorders>
              <w:top w:val="nil"/>
              <w:bottom w:val="nil"/>
              <w:right w:val="nil"/>
            </w:tcBorders>
            <w:noWrap/>
            <w:vAlign w:val="center"/>
            <w:hideMark/>
          </w:tcPr>
          <w:p w14:paraId="75B3D8CC"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-4.97</w:t>
            </w:r>
          </w:p>
        </w:tc>
      </w:tr>
      <w:tr w:rsidR="00A16A16" w:rsidRPr="00A16A16" w14:paraId="632496EA" w14:textId="77777777" w:rsidTr="004A7EDC">
        <w:trPr>
          <w:trHeight w:val="288"/>
        </w:trPr>
        <w:tc>
          <w:tcPr>
            <w:tcW w:w="853" w:type="pct"/>
            <w:tcBorders>
              <w:top w:val="nil"/>
              <w:bottom w:val="nil"/>
              <w:right w:val="nil"/>
            </w:tcBorders>
            <w:noWrap/>
            <w:vAlign w:val="center"/>
            <w:hideMark/>
          </w:tcPr>
          <w:p w14:paraId="4A2B9D70"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proofErr w:type="spellStart"/>
            <w:r w:rsidRPr="00A16A16">
              <w:rPr>
                <w:rFonts w:cs="Times New Roman" w:hint="eastAsia"/>
                <w:color w:val="000000"/>
                <w:kern w:val="0"/>
                <w:sz w:val="20"/>
                <w:szCs w:val="20"/>
                <w:lang w:bidi="ar-SA"/>
              </w:rPr>
              <w:t>SHSA</w:t>
            </w:r>
            <w:proofErr w:type="spellEnd"/>
          </w:p>
        </w:tc>
        <w:tc>
          <w:tcPr>
            <w:tcW w:w="2023" w:type="pct"/>
            <w:tcBorders>
              <w:top w:val="nil"/>
              <w:left w:val="nil"/>
              <w:bottom w:val="nil"/>
            </w:tcBorders>
            <w:noWrap/>
            <w:vAlign w:val="center"/>
            <w:hideMark/>
          </w:tcPr>
          <w:p w14:paraId="0643A8C2"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170.75</w:t>
            </w:r>
          </w:p>
        </w:tc>
        <w:tc>
          <w:tcPr>
            <w:tcW w:w="2124" w:type="pct"/>
            <w:tcBorders>
              <w:top w:val="nil"/>
              <w:bottom w:val="nil"/>
              <w:right w:val="nil"/>
            </w:tcBorders>
            <w:noWrap/>
            <w:vAlign w:val="center"/>
            <w:hideMark/>
          </w:tcPr>
          <w:p w14:paraId="6CADD07F"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-6.13</w:t>
            </w:r>
          </w:p>
        </w:tc>
      </w:tr>
      <w:tr w:rsidR="00A16A16" w:rsidRPr="00A16A16" w14:paraId="2AEFB2B7" w14:textId="77777777" w:rsidTr="004A7EDC">
        <w:trPr>
          <w:trHeight w:val="288"/>
        </w:trPr>
        <w:tc>
          <w:tcPr>
            <w:tcW w:w="853" w:type="pct"/>
            <w:tcBorders>
              <w:top w:val="nil"/>
              <w:bottom w:val="nil"/>
              <w:right w:val="nil"/>
            </w:tcBorders>
            <w:noWrap/>
            <w:vAlign w:val="center"/>
            <w:hideMark/>
          </w:tcPr>
          <w:p w14:paraId="0DBE75BD"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EURO</w:t>
            </w:r>
          </w:p>
        </w:tc>
        <w:tc>
          <w:tcPr>
            <w:tcW w:w="2023" w:type="pct"/>
            <w:tcBorders>
              <w:top w:val="nil"/>
              <w:left w:val="nil"/>
              <w:bottom w:val="nil"/>
            </w:tcBorders>
            <w:noWrap/>
            <w:vAlign w:val="center"/>
            <w:hideMark/>
          </w:tcPr>
          <w:p w14:paraId="5EB78842"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44.50</w:t>
            </w:r>
          </w:p>
        </w:tc>
        <w:tc>
          <w:tcPr>
            <w:tcW w:w="2124" w:type="pct"/>
            <w:tcBorders>
              <w:top w:val="nil"/>
              <w:bottom w:val="nil"/>
              <w:right w:val="nil"/>
            </w:tcBorders>
            <w:noWrap/>
            <w:vAlign w:val="center"/>
            <w:hideMark/>
          </w:tcPr>
          <w:p w14:paraId="41F33972"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-1.11</w:t>
            </w:r>
          </w:p>
        </w:tc>
      </w:tr>
      <w:tr w:rsidR="00A16A16" w:rsidRPr="00A16A16" w14:paraId="58F1ED0E" w14:textId="77777777" w:rsidTr="004A7EDC">
        <w:trPr>
          <w:trHeight w:val="288"/>
        </w:trPr>
        <w:tc>
          <w:tcPr>
            <w:tcW w:w="853" w:type="pct"/>
            <w:tcBorders>
              <w:top w:val="nil"/>
              <w:bottom w:val="nil"/>
              <w:right w:val="nil"/>
            </w:tcBorders>
            <w:noWrap/>
            <w:vAlign w:val="center"/>
            <w:hideMark/>
          </w:tcPr>
          <w:p w14:paraId="48A7EA53"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MIDE</w:t>
            </w:r>
          </w:p>
        </w:tc>
        <w:tc>
          <w:tcPr>
            <w:tcW w:w="2023" w:type="pct"/>
            <w:tcBorders>
              <w:top w:val="nil"/>
              <w:left w:val="nil"/>
              <w:bottom w:val="nil"/>
            </w:tcBorders>
            <w:noWrap/>
            <w:vAlign w:val="center"/>
            <w:hideMark/>
          </w:tcPr>
          <w:p w14:paraId="6CD555CE"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73.12</w:t>
            </w:r>
          </w:p>
        </w:tc>
        <w:tc>
          <w:tcPr>
            <w:tcW w:w="2124" w:type="pct"/>
            <w:tcBorders>
              <w:top w:val="nil"/>
              <w:bottom w:val="nil"/>
              <w:right w:val="nil"/>
            </w:tcBorders>
            <w:noWrap/>
            <w:vAlign w:val="center"/>
            <w:hideMark/>
          </w:tcPr>
          <w:p w14:paraId="4F49B001"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0.09</w:t>
            </w:r>
          </w:p>
        </w:tc>
      </w:tr>
      <w:tr w:rsidR="00A16A16" w:rsidRPr="00A16A16" w14:paraId="7F9AFFCD" w14:textId="77777777" w:rsidTr="004A7EDC">
        <w:trPr>
          <w:trHeight w:val="288"/>
        </w:trPr>
        <w:tc>
          <w:tcPr>
            <w:tcW w:w="853" w:type="pct"/>
            <w:tcBorders>
              <w:top w:val="nil"/>
              <w:bottom w:val="nil"/>
              <w:right w:val="nil"/>
            </w:tcBorders>
            <w:noWrap/>
            <w:vAlign w:val="center"/>
            <w:hideMark/>
          </w:tcPr>
          <w:p w14:paraId="542011FE"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proofErr w:type="spellStart"/>
            <w:r w:rsidRPr="00A16A16">
              <w:rPr>
                <w:rFonts w:cs="Times New Roman" w:hint="eastAsia"/>
                <w:color w:val="000000"/>
                <w:kern w:val="0"/>
                <w:sz w:val="20"/>
                <w:szCs w:val="20"/>
                <w:lang w:bidi="ar-SA"/>
              </w:rPr>
              <w:t>NHAF</w:t>
            </w:r>
            <w:proofErr w:type="spellEnd"/>
          </w:p>
        </w:tc>
        <w:tc>
          <w:tcPr>
            <w:tcW w:w="2023" w:type="pct"/>
            <w:tcBorders>
              <w:top w:val="nil"/>
              <w:left w:val="nil"/>
              <w:bottom w:val="nil"/>
            </w:tcBorders>
            <w:noWrap/>
            <w:vAlign w:val="center"/>
            <w:hideMark/>
          </w:tcPr>
          <w:p w14:paraId="6D5F2A4B"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264.05</w:t>
            </w:r>
          </w:p>
        </w:tc>
        <w:tc>
          <w:tcPr>
            <w:tcW w:w="2124" w:type="pct"/>
            <w:tcBorders>
              <w:top w:val="nil"/>
              <w:bottom w:val="nil"/>
              <w:right w:val="nil"/>
            </w:tcBorders>
            <w:noWrap/>
            <w:vAlign w:val="center"/>
            <w:hideMark/>
          </w:tcPr>
          <w:p w14:paraId="76E66419"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2.57</w:t>
            </w:r>
          </w:p>
        </w:tc>
      </w:tr>
      <w:tr w:rsidR="00A16A16" w:rsidRPr="00A16A16" w14:paraId="4E8C4A52" w14:textId="77777777" w:rsidTr="004A7EDC">
        <w:trPr>
          <w:trHeight w:val="288"/>
        </w:trPr>
        <w:tc>
          <w:tcPr>
            <w:tcW w:w="853" w:type="pct"/>
            <w:tcBorders>
              <w:top w:val="nil"/>
              <w:bottom w:val="nil"/>
              <w:right w:val="nil"/>
            </w:tcBorders>
            <w:noWrap/>
            <w:vAlign w:val="center"/>
            <w:hideMark/>
          </w:tcPr>
          <w:p w14:paraId="78544AE3"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SHAF</w:t>
            </w:r>
          </w:p>
        </w:tc>
        <w:tc>
          <w:tcPr>
            <w:tcW w:w="2023" w:type="pct"/>
            <w:tcBorders>
              <w:top w:val="nil"/>
              <w:left w:val="nil"/>
              <w:bottom w:val="nil"/>
            </w:tcBorders>
            <w:noWrap/>
            <w:vAlign w:val="center"/>
            <w:hideMark/>
          </w:tcPr>
          <w:p w14:paraId="54C9EA90"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325.09</w:t>
            </w:r>
          </w:p>
        </w:tc>
        <w:tc>
          <w:tcPr>
            <w:tcW w:w="2124" w:type="pct"/>
            <w:tcBorders>
              <w:top w:val="nil"/>
              <w:bottom w:val="nil"/>
              <w:right w:val="nil"/>
            </w:tcBorders>
            <w:noWrap/>
            <w:vAlign w:val="center"/>
            <w:hideMark/>
          </w:tcPr>
          <w:p w14:paraId="61387924"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4.41</w:t>
            </w:r>
          </w:p>
        </w:tc>
      </w:tr>
      <w:tr w:rsidR="00A16A16" w:rsidRPr="00A16A16" w14:paraId="6269C9E2" w14:textId="77777777" w:rsidTr="004A7EDC">
        <w:trPr>
          <w:trHeight w:val="288"/>
        </w:trPr>
        <w:tc>
          <w:tcPr>
            <w:tcW w:w="853" w:type="pct"/>
            <w:tcBorders>
              <w:top w:val="nil"/>
              <w:bottom w:val="nil"/>
              <w:right w:val="nil"/>
            </w:tcBorders>
            <w:noWrap/>
            <w:vAlign w:val="center"/>
            <w:hideMark/>
          </w:tcPr>
          <w:p w14:paraId="770C095F"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BOAS</w:t>
            </w:r>
          </w:p>
        </w:tc>
        <w:tc>
          <w:tcPr>
            <w:tcW w:w="2023" w:type="pct"/>
            <w:tcBorders>
              <w:top w:val="nil"/>
              <w:left w:val="nil"/>
              <w:bottom w:val="nil"/>
            </w:tcBorders>
            <w:noWrap/>
            <w:vAlign w:val="center"/>
            <w:hideMark/>
          </w:tcPr>
          <w:p w14:paraId="23D07CB2"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279.94</w:t>
            </w:r>
          </w:p>
        </w:tc>
        <w:tc>
          <w:tcPr>
            <w:tcW w:w="2124" w:type="pct"/>
            <w:tcBorders>
              <w:top w:val="nil"/>
              <w:bottom w:val="nil"/>
              <w:right w:val="nil"/>
            </w:tcBorders>
            <w:noWrap/>
            <w:vAlign w:val="center"/>
            <w:hideMark/>
          </w:tcPr>
          <w:p w14:paraId="104C83D2"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9.10</w:t>
            </w:r>
          </w:p>
        </w:tc>
      </w:tr>
      <w:tr w:rsidR="00A16A16" w:rsidRPr="00A16A16" w14:paraId="163918C5" w14:textId="77777777" w:rsidTr="004A7EDC">
        <w:trPr>
          <w:trHeight w:val="288"/>
        </w:trPr>
        <w:tc>
          <w:tcPr>
            <w:tcW w:w="853" w:type="pct"/>
            <w:tcBorders>
              <w:top w:val="nil"/>
              <w:bottom w:val="nil"/>
              <w:right w:val="nil"/>
            </w:tcBorders>
            <w:noWrap/>
            <w:vAlign w:val="center"/>
            <w:hideMark/>
          </w:tcPr>
          <w:p w14:paraId="0F72BE98"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CEAS</w:t>
            </w:r>
          </w:p>
        </w:tc>
        <w:tc>
          <w:tcPr>
            <w:tcW w:w="2023" w:type="pct"/>
            <w:tcBorders>
              <w:top w:val="nil"/>
              <w:left w:val="nil"/>
              <w:bottom w:val="nil"/>
            </w:tcBorders>
            <w:noWrap/>
            <w:vAlign w:val="center"/>
            <w:hideMark/>
          </w:tcPr>
          <w:p w14:paraId="40067861"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61.30</w:t>
            </w:r>
          </w:p>
        </w:tc>
        <w:tc>
          <w:tcPr>
            <w:tcW w:w="2124" w:type="pct"/>
            <w:tcBorders>
              <w:top w:val="nil"/>
              <w:bottom w:val="nil"/>
              <w:right w:val="nil"/>
            </w:tcBorders>
            <w:noWrap/>
            <w:vAlign w:val="center"/>
            <w:hideMark/>
          </w:tcPr>
          <w:p w14:paraId="5344ECB1"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-2.96</w:t>
            </w:r>
          </w:p>
        </w:tc>
      </w:tr>
      <w:tr w:rsidR="00A16A16" w:rsidRPr="00A16A16" w14:paraId="0B80E87D" w14:textId="77777777" w:rsidTr="004A7EDC">
        <w:trPr>
          <w:trHeight w:val="288"/>
        </w:trPr>
        <w:tc>
          <w:tcPr>
            <w:tcW w:w="853" w:type="pct"/>
            <w:tcBorders>
              <w:top w:val="nil"/>
              <w:bottom w:val="nil"/>
              <w:right w:val="nil"/>
            </w:tcBorders>
            <w:noWrap/>
            <w:vAlign w:val="center"/>
            <w:hideMark/>
          </w:tcPr>
          <w:p w14:paraId="27780892"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SEAS</w:t>
            </w:r>
          </w:p>
        </w:tc>
        <w:tc>
          <w:tcPr>
            <w:tcW w:w="2023" w:type="pct"/>
            <w:tcBorders>
              <w:top w:val="nil"/>
              <w:left w:val="nil"/>
              <w:bottom w:val="nil"/>
            </w:tcBorders>
            <w:noWrap/>
            <w:vAlign w:val="center"/>
            <w:hideMark/>
          </w:tcPr>
          <w:p w14:paraId="42ED9C0F"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150.13</w:t>
            </w:r>
          </w:p>
        </w:tc>
        <w:tc>
          <w:tcPr>
            <w:tcW w:w="2124" w:type="pct"/>
            <w:tcBorders>
              <w:top w:val="nil"/>
              <w:bottom w:val="nil"/>
              <w:right w:val="nil"/>
            </w:tcBorders>
            <w:noWrap/>
            <w:vAlign w:val="center"/>
            <w:hideMark/>
          </w:tcPr>
          <w:p w14:paraId="3088CF2E"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-0.02</w:t>
            </w:r>
          </w:p>
        </w:tc>
      </w:tr>
      <w:tr w:rsidR="00A16A16" w:rsidRPr="00A16A16" w14:paraId="73E37229" w14:textId="77777777" w:rsidTr="004A7EDC">
        <w:trPr>
          <w:trHeight w:val="288"/>
        </w:trPr>
        <w:tc>
          <w:tcPr>
            <w:tcW w:w="853" w:type="pct"/>
            <w:tcBorders>
              <w:top w:val="nil"/>
              <w:bottom w:val="nil"/>
              <w:right w:val="nil"/>
            </w:tcBorders>
            <w:noWrap/>
            <w:vAlign w:val="center"/>
            <w:hideMark/>
          </w:tcPr>
          <w:p w14:paraId="6B63AF8A"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EQAS</w:t>
            </w:r>
          </w:p>
        </w:tc>
        <w:tc>
          <w:tcPr>
            <w:tcW w:w="2023" w:type="pct"/>
            <w:tcBorders>
              <w:top w:val="nil"/>
              <w:left w:val="nil"/>
              <w:bottom w:val="nil"/>
            </w:tcBorders>
            <w:noWrap/>
            <w:vAlign w:val="center"/>
            <w:hideMark/>
          </w:tcPr>
          <w:p w14:paraId="6A5240CF"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172.99</w:t>
            </w:r>
          </w:p>
        </w:tc>
        <w:tc>
          <w:tcPr>
            <w:tcW w:w="2124" w:type="pct"/>
            <w:tcBorders>
              <w:top w:val="nil"/>
              <w:bottom w:val="nil"/>
              <w:right w:val="nil"/>
            </w:tcBorders>
            <w:noWrap/>
            <w:vAlign w:val="center"/>
            <w:hideMark/>
          </w:tcPr>
          <w:p w14:paraId="708D32D1"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-6.91</w:t>
            </w:r>
          </w:p>
        </w:tc>
      </w:tr>
      <w:tr w:rsidR="00A16A16" w:rsidRPr="00A16A16" w14:paraId="73EFF2BA" w14:textId="77777777" w:rsidTr="004A7EDC">
        <w:trPr>
          <w:trHeight w:val="288"/>
        </w:trPr>
        <w:tc>
          <w:tcPr>
            <w:tcW w:w="853" w:type="pct"/>
            <w:tcBorders>
              <w:top w:val="nil"/>
              <w:right w:val="nil"/>
            </w:tcBorders>
            <w:noWrap/>
            <w:vAlign w:val="center"/>
            <w:hideMark/>
          </w:tcPr>
          <w:p w14:paraId="779F8102"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AUST</w:t>
            </w:r>
          </w:p>
        </w:tc>
        <w:tc>
          <w:tcPr>
            <w:tcW w:w="2023" w:type="pct"/>
            <w:tcBorders>
              <w:top w:val="nil"/>
              <w:left w:val="nil"/>
            </w:tcBorders>
            <w:noWrap/>
            <w:vAlign w:val="center"/>
            <w:hideMark/>
          </w:tcPr>
          <w:p w14:paraId="3D251C24"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195.80</w:t>
            </w:r>
          </w:p>
        </w:tc>
        <w:tc>
          <w:tcPr>
            <w:tcW w:w="2124" w:type="pct"/>
            <w:tcBorders>
              <w:top w:val="nil"/>
              <w:right w:val="nil"/>
            </w:tcBorders>
            <w:noWrap/>
            <w:vAlign w:val="center"/>
            <w:hideMark/>
          </w:tcPr>
          <w:p w14:paraId="53B57901"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0.44</w:t>
            </w:r>
          </w:p>
        </w:tc>
      </w:tr>
    </w:tbl>
    <w:p w14:paraId="72AB4F30" w14:textId="77777777" w:rsidR="00A16A16" w:rsidRPr="00A16A16" w:rsidRDefault="00A16A16" w:rsidP="00A16A16">
      <w:pPr>
        <w:spacing w:beforeLines="0" w:before="0" w:afterLines="0" w:after="0" w:line="288" w:lineRule="auto"/>
        <w:rPr>
          <w:rFonts w:cs="Times New Roman"/>
          <w:b/>
          <w:bCs/>
          <w:sz w:val="22"/>
          <w:szCs w:val="24"/>
          <w:lang w:bidi="ar-SA"/>
          <w14:ligatures w14:val="standardContextual"/>
        </w:rPr>
      </w:pPr>
    </w:p>
    <w:p w14:paraId="3109DAE6" w14:textId="77777777" w:rsidR="00A16A16" w:rsidRPr="00A16A16" w:rsidRDefault="00A16A16" w:rsidP="00A16A16">
      <w:pPr>
        <w:spacing w:beforeLines="0" w:before="0" w:afterLines="0" w:after="0" w:line="240" w:lineRule="auto"/>
        <w:jc w:val="center"/>
        <w:rPr>
          <w:rFonts w:eastAsiaTheme="minorEastAsia" w:cs="Times New Roman"/>
          <w:b/>
          <w:sz w:val="20"/>
          <w:szCs w:val="20"/>
          <w:lang w:bidi="ar-SA"/>
          <w14:ligatures w14:val="standardContextual"/>
        </w:rPr>
      </w:pPr>
      <w:r w:rsidRPr="00A16A16">
        <w:rPr>
          <w:rFonts w:eastAsia="Times New Roman" w:cs="Times New Roman"/>
          <w:b/>
          <w:sz w:val="20"/>
          <w:szCs w:val="20"/>
          <w:lang w:bidi="ar-SA"/>
          <w14:ligatures w14:val="standardContextual"/>
        </w:rPr>
        <w:t xml:space="preserve">Table </w:t>
      </w:r>
      <w:proofErr w:type="spellStart"/>
      <w:r w:rsidRPr="00A16A16">
        <w:rPr>
          <w:rFonts w:eastAsia="Times New Roman" w:cs="Times New Roman"/>
          <w:b/>
          <w:sz w:val="20"/>
          <w:szCs w:val="20"/>
          <w:lang w:bidi="ar-SA"/>
          <w14:ligatures w14:val="standardContextual"/>
        </w:rPr>
        <w:t>S</w:t>
      </w:r>
      <w:r w:rsidRPr="00A16A16">
        <w:rPr>
          <w:rFonts w:eastAsiaTheme="minorEastAsia" w:cs="Times New Roman" w:hint="eastAsia"/>
          <w:b/>
          <w:sz w:val="20"/>
          <w:szCs w:val="20"/>
          <w:lang w:bidi="ar-SA"/>
          <w14:ligatures w14:val="standardContextual"/>
        </w:rPr>
        <w:t>8</w:t>
      </w:r>
      <w:proofErr w:type="spellEnd"/>
      <w:r w:rsidRPr="00A16A16">
        <w:rPr>
          <w:rFonts w:eastAsia="Times New Roman" w:cs="Times New Roman"/>
          <w:b/>
          <w:sz w:val="20"/>
          <w:szCs w:val="20"/>
          <w:lang w:bidi="ar-SA"/>
          <w14:ligatures w14:val="standardContextual"/>
        </w:rPr>
        <w:t>. Mean annual CO</w:t>
      </w:r>
      <w:r w:rsidRPr="00A16A16">
        <w:rPr>
          <w:rFonts w:eastAsiaTheme="minorEastAsia" w:cs="Times New Roman" w:hint="eastAsia"/>
          <w:b/>
          <w:sz w:val="20"/>
          <w:szCs w:val="20"/>
          <w:vertAlign w:val="subscript"/>
          <w:lang w:bidi="ar-SA"/>
          <w14:ligatures w14:val="standardContextual"/>
        </w:rPr>
        <w:t>2</w:t>
      </w:r>
      <w:r w:rsidRPr="00A16A16">
        <w:rPr>
          <w:rFonts w:eastAsia="Times New Roman" w:cs="Times New Roman"/>
          <w:b/>
          <w:sz w:val="20"/>
          <w:szCs w:val="20"/>
          <w:lang w:bidi="ar-SA"/>
          <w14:ligatures w14:val="standardContextual"/>
        </w:rPr>
        <w:t xml:space="preserve"> emission fluxes and their corresponding Theil-Sen slope trends across 14 regions from 20</w:t>
      </w:r>
      <w:r w:rsidRPr="00A16A16">
        <w:rPr>
          <w:rFonts w:eastAsiaTheme="minorEastAsia" w:cs="Times New Roman" w:hint="eastAsia"/>
          <w:b/>
          <w:sz w:val="20"/>
          <w:szCs w:val="20"/>
          <w:lang w:bidi="ar-SA"/>
          <w14:ligatures w14:val="standardContextual"/>
        </w:rPr>
        <w:t>1</w:t>
      </w:r>
      <w:r w:rsidRPr="00A16A16">
        <w:rPr>
          <w:rFonts w:eastAsia="Times New Roman" w:cs="Times New Roman"/>
          <w:b/>
          <w:sz w:val="20"/>
          <w:szCs w:val="20"/>
          <w:lang w:bidi="ar-SA"/>
          <w14:ligatures w14:val="standardContextual"/>
        </w:rPr>
        <w:t>3 to 20</w:t>
      </w:r>
      <w:r w:rsidRPr="00A16A16">
        <w:rPr>
          <w:rFonts w:eastAsiaTheme="minorEastAsia" w:cs="Times New Roman" w:hint="eastAsia"/>
          <w:b/>
          <w:sz w:val="20"/>
          <w:szCs w:val="20"/>
          <w:lang w:bidi="ar-SA"/>
          <w14:ligatures w14:val="standardContextual"/>
        </w:rPr>
        <w:t>2</w:t>
      </w:r>
      <w:r w:rsidRPr="00A16A16">
        <w:rPr>
          <w:rFonts w:eastAsia="Times New Roman" w:cs="Times New Roman"/>
          <w:b/>
          <w:sz w:val="20"/>
          <w:szCs w:val="20"/>
          <w:lang w:bidi="ar-SA"/>
          <w14:ligatures w14:val="standardContextual"/>
        </w:rPr>
        <w:t xml:space="preserve">3. (unit: </w:t>
      </w:r>
      <w:r w:rsidRPr="00A16A16">
        <w:rPr>
          <w:rFonts w:eastAsiaTheme="minorEastAsia" w:cs="Times New Roman" w:hint="eastAsia"/>
          <w:b/>
          <w:sz w:val="20"/>
          <w:szCs w:val="20"/>
          <w:lang w:bidi="ar-SA"/>
          <w14:ligatures w14:val="standardContextual"/>
        </w:rPr>
        <w:t>g m</w:t>
      </w:r>
      <w:r w:rsidRPr="00A16A16">
        <w:rPr>
          <w:rFonts w:eastAsiaTheme="minorEastAsia" w:cs="Times New Roman" w:hint="eastAsia"/>
          <w:b/>
          <w:sz w:val="20"/>
          <w:szCs w:val="20"/>
          <w:vertAlign w:val="superscript"/>
          <w:lang w:bidi="ar-SA"/>
          <w14:ligatures w14:val="standardContextual"/>
        </w:rPr>
        <w:t>-2</w:t>
      </w:r>
      <w:r w:rsidRPr="00A16A16">
        <w:rPr>
          <w:rFonts w:eastAsia="Times New Roman" w:cs="Times New Roman"/>
          <w:b/>
          <w:sz w:val="20"/>
          <w:szCs w:val="20"/>
          <w:lang w:bidi="ar-SA"/>
          <w14:ligatures w14:val="standardContextual"/>
        </w:rPr>
        <w:t xml:space="preserve">). </w:t>
      </w:r>
    </w:p>
    <w:tbl>
      <w:tblPr>
        <w:tblW w:w="5000" w:type="pct"/>
        <w:tblBorders>
          <w:top w:val="single" w:sz="4" w:space="0" w:color="auto"/>
          <w:bottom w:val="single" w:sz="4" w:space="0" w:color="auto"/>
          <w:insideH w:val="single" w:sz="4" w:space="0" w:color="auto"/>
        </w:tblBorders>
        <w:tblLook w:val="04A0" w:firstRow="1" w:lastRow="0" w:firstColumn="1" w:lastColumn="0" w:noHBand="0" w:noVBand="1"/>
      </w:tblPr>
      <w:tblGrid>
        <w:gridCol w:w="1417"/>
        <w:gridCol w:w="3361"/>
        <w:gridCol w:w="3528"/>
      </w:tblGrid>
      <w:tr w:rsidR="00A16A16" w:rsidRPr="00A16A16" w14:paraId="1084E6E6" w14:textId="77777777" w:rsidTr="004A7EDC">
        <w:trPr>
          <w:trHeight w:val="288"/>
        </w:trPr>
        <w:tc>
          <w:tcPr>
            <w:tcW w:w="853" w:type="pct"/>
            <w:tcBorders>
              <w:bottom w:val="single" w:sz="4" w:space="0" w:color="auto"/>
              <w:right w:val="nil"/>
            </w:tcBorders>
            <w:noWrap/>
            <w:vAlign w:val="center"/>
            <w:hideMark/>
          </w:tcPr>
          <w:p w14:paraId="621F8A23" w14:textId="77777777" w:rsidR="00A16A16" w:rsidRPr="00A16A16" w:rsidRDefault="00A16A16" w:rsidP="00A16A16">
            <w:pPr>
              <w:widowControl/>
              <w:spacing w:beforeLines="0" w:before="0" w:afterLines="0" w:after="0" w:line="240" w:lineRule="auto"/>
              <w:jc w:val="center"/>
              <w:rPr>
                <w:rFonts w:cs="Times New Roman"/>
                <w:kern w:val="0"/>
                <w:sz w:val="20"/>
                <w:szCs w:val="20"/>
                <w:lang w:bidi="ar-SA"/>
              </w:rPr>
            </w:pPr>
            <w:r w:rsidRPr="00A16A16">
              <w:rPr>
                <w:rFonts w:cs="Times New Roman" w:hint="eastAsia"/>
                <w:kern w:val="0"/>
                <w:sz w:val="20"/>
                <w:szCs w:val="20"/>
                <w:lang w:bidi="ar-SA"/>
              </w:rPr>
              <w:t>Region</w:t>
            </w:r>
          </w:p>
        </w:tc>
        <w:tc>
          <w:tcPr>
            <w:tcW w:w="2023" w:type="pct"/>
            <w:tcBorders>
              <w:left w:val="nil"/>
              <w:bottom w:val="single" w:sz="4" w:space="0" w:color="auto"/>
            </w:tcBorders>
            <w:noWrap/>
            <w:vAlign w:val="center"/>
            <w:hideMark/>
          </w:tcPr>
          <w:p w14:paraId="6F033FB9" w14:textId="77777777" w:rsidR="00A16A16" w:rsidRPr="00A16A16" w:rsidRDefault="00A16A16" w:rsidP="00A16A16">
            <w:pPr>
              <w:widowControl/>
              <w:spacing w:beforeLines="0" w:before="0" w:afterLines="0" w:after="0" w:line="240" w:lineRule="auto"/>
              <w:jc w:val="center"/>
              <w:rPr>
                <w:rFonts w:cs="Times New Roman"/>
                <w:kern w:val="0"/>
                <w:sz w:val="20"/>
                <w:szCs w:val="20"/>
                <w:lang w:bidi="ar-SA"/>
              </w:rPr>
            </w:pPr>
            <w:r w:rsidRPr="00A16A16">
              <w:rPr>
                <w:rFonts w:cs="Times New Roman"/>
                <w:kern w:val="0"/>
                <w:sz w:val="20"/>
                <w:szCs w:val="20"/>
                <w:lang w:bidi="ar-SA"/>
              </w:rPr>
              <w:t>Mean Emission Flux</w:t>
            </w:r>
          </w:p>
        </w:tc>
        <w:tc>
          <w:tcPr>
            <w:tcW w:w="2124" w:type="pct"/>
            <w:tcBorders>
              <w:bottom w:val="single" w:sz="4" w:space="0" w:color="auto"/>
            </w:tcBorders>
            <w:noWrap/>
            <w:vAlign w:val="center"/>
            <w:hideMark/>
          </w:tcPr>
          <w:p w14:paraId="6AB08255" w14:textId="77777777" w:rsidR="00A16A16" w:rsidRPr="00A16A16" w:rsidRDefault="00A16A16" w:rsidP="00A16A16">
            <w:pPr>
              <w:widowControl/>
              <w:spacing w:beforeLines="0" w:before="0" w:afterLines="0" w:after="0" w:line="240" w:lineRule="auto"/>
              <w:jc w:val="center"/>
              <w:rPr>
                <w:rFonts w:cs="Times New Roman"/>
                <w:kern w:val="0"/>
                <w:sz w:val="20"/>
                <w:szCs w:val="20"/>
                <w:lang w:bidi="ar-SA"/>
              </w:rPr>
            </w:pPr>
            <w:r w:rsidRPr="00A16A16">
              <w:rPr>
                <w:rFonts w:cs="Times New Roman"/>
                <w:kern w:val="0"/>
                <w:sz w:val="20"/>
                <w:szCs w:val="20"/>
                <w:lang w:bidi="ar-SA"/>
              </w:rPr>
              <w:t>Theil Sen Slope value</w:t>
            </w:r>
          </w:p>
        </w:tc>
      </w:tr>
      <w:tr w:rsidR="00A16A16" w:rsidRPr="00A16A16" w14:paraId="69B5C223" w14:textId="77777777" w:rsidTr="004A7EDC">
        <w:trPr>
          <w:trHeight w:val="288"/>
        </w:trPr>
        <w:tc>
          <w:tcPr>
            <w:tcW w:w="853" w:type="pct"/>
            <w:tcBorders>
              <w:bottom w:val="nil"/>
              <w:right w:val="nil"/>
            </w:tcBorders>
            <w:noWrap/>
            <w:vAlign w:val="center"/>
            <w:hideMark/>
          </w:tcPr>
          <w:p w14:paraId="559ACE3C"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BONA</w:t>
            </w:r>
          </w:p>
        </w:tc>
        <w:tc>
          <w:tcPr>
            <w:tcW w:w="2023" w:type="pct"/>
            <w:tcBorders>
              <w:left w:val="nil"/>
              <w:bottom w:val="nil"/>
            </w:tcBorders>
            <w:noWrap/>
            <w:vAlign w:val="center"/>
            <w:hideMark/>
          </w:tcPr>
          <w:p w14:paraId="2EE6B4FB"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663.77</w:t>
            </w:r>
          </w:p>
        </w:tc>
        <w:tc>
          <w:tcPr>
            <w:tcW w:w="2124" w:type="pct"/>
            <w:tcBorders>
              <w:bottom w:val="nil"/>
            </w:tcBorders>
            <w:noWrap/>
            <w:vAlign w:val="center"/>
            <w:hideMark/>
          </w:tcPr>
          <w:p w14:paraId="63B9CB36"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11.93</w:t>
            </w:r>
          </w:p>
        </w:tc>
      </w:tr>
      <w:tr w:rsidR="00A16A16" w:rsidRPr="00A16A16" w14:paraId="6511DC2B" w14:textId="77777777" w:rsidTr="004A7EDC">
        <w:trPr>
          <w:trHeight w:val="288"/>
        </w:trPr>
        <w:tc>
          <w:tcPr>
            <w:tcW w:w="853" w:type="pct"/>
            <w:tcBorders>
              <w:top w:val="nil"/>
              <w:bottom w:val="nil"/>
              <w:right w:val="nil"/>
            </w:tcBorders>
            <w:noWrap/>
            <w:vAlign w:val="center"/>
            <w:hideMark/>
          </w:tcPr>
          <w:p w14:paraId="7CE5ABA7"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TENA</w:t>
            </w:r>
          </w:p>
        </w:tc>
        <w:tc>
          <w:tcPr>
            <w:tcW w:w="2023" w:type="pct"/>
            <w:tcBorders>
              <w:top w:val="nil"/>
              <w:left w:val="nil"/>
              <w:bottom w:val="nil"/>
            </w:tcBorders>
            <w:noWrap/>
            <w:vAlign w:val="center"/>
            <w:hideMark/>
          </w:tcPr>
          <w:p w14:paraId="11F717F0"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128.43</w:t>
            </w:r>
          </w:p>
        </w:tc>
        <w:tc>
          <w:tcPr>
            <w:tcW w:w="2124" w:type="pct"/>
            <w:tcBorders>
              <w:top w:val="nil"/>
              <w:bottom w:val="nil"/>
            </w:tcBorders>
            <w:noWrap/>
            <w:vAlign w:val="center"/>
            <w:hideMark/>
          </w:tcPr>
          <w:p w14:paraId="4F5E05D0"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3.78</w:t>
            </w:r>
          </w:p>
        </w:tc>
      </w:tr>
      <w:tr w:rsidR="00A16A16" w:rsidRPr="00A16A16" w14:paraId="77EE50F1" w14:textId="77777777" w:rsidTr="004A7EDC">
        <w:trPr>
          <w:trHeight w:val="288"/>
        </w:trPr>
        <w:tc>
          <w:tcPr>
            <w:tcW w:w="853" w:type="pct"/>
            <w:tcBorders>
              <w:top w:val="nil"/>
              <w:bottom w:val="nil"/>
              <w:right w:val="nil"/>
            </w:tcBorders>
            <w:noWrap/>
            <w:vAlign w:val="center"/>
            <w:hideMark/>
          </w:tcPr>
          <w:p w14:paraId="79385521"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proofErr w:type="spellStart"/>
            <w:r w:rsidRPr="00A16A16">
              <w:rPr>
                <w:rFonts w:cs="Times New Roman" w:hint="eastAsia"/>
                <w:color w:val="000000"/>
                <w:kern w:val="0"/>
                <w:sz w:val="20"/>
                <w:szCs w:val="20"/>
                <w:lang w:bidi="ar-SA"/>
              </w:rPr>
              <w:t>CEAM</w:t>
            </w:r>
            <w:proofErr w:type="spellEnd"/>
          </w:p>
        </w:tc>
        <w:tc>
          <w:tcPr>
            <w:tcW w:w="2023" w:type="pct"/>
            <w:tcBorders>
              <w:top w:val="nil"/>
              <w:left w:val="nil"/>
              <w:bottom w:val="nil"/>
            </w:tcBorders>
            <w:noWrap/>
            <w:vAlign w:val="center"/>
            <w:hideMark/>
          </w:tcPr>
          <w:p w14:paraId="0126C855"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94.85</w:t>
            </w:r>
          </w:p>
        </w:tc>
        <w:tc>
          <w:tcPr>
            <w:tcW w:w="2124" w:type="pct"/>
            <w:tcBorders>
              <w:top w:val="nil"/>
              <w:bottom w:val="nil"/>
            </w:tcBorders>
            <w:noWrap/>
            <w:vAlign w:val="center"/>
            <w:hideMark/>
          </w:tcPr>
          <w:p w14:paraId="47E00360"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0.47</w:t>
            </w:r>
          </w:p>
        </w:tc>
      </w:tr>
      <w:tr w:rsidR="00A16A16" w:rsidRPr="00A16A16" w14:paraId="47DEEA40" w14:textId="77777777" w:rsidTr="004A7EDC">
        <w:trPr>
          <w:trHeight w:val="288"/>
        </w:trPr>
        <w:tc>
          <w:tcPr>
            <w:tcW w:w="853" w:type="pct"/>
            <w:tcBorders>
              <w:top w:val="nil"/>
              <w:bottom w:val="nil"/>
              <w:right w:val="nil"/>
            </w:tcBorders>
            <w:noWrap/>
            <w:vAlign w:val="center"/>
            <w:hideMark/>
          </w:tcPr>
          <w:p w14:paraId="0CA41568"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NHSA</w:t>
            </w:r>
          </w:p>
        </w:tc>
        <w:tc>
          <w:tcPr>
            <w:tcW w:w="2023" w:type="pct"/>
            <w:tcBorders>
              <w:top w:val="nil"/>
              <w:left w:val="nil"/>
              <w:bottom w:val="nil"/>
            </w:tcBorders>
            <w:noWrap/>
            <w:vAlign w:val="center"/>
            <w:hideMark/>
          </w:tcPr>
          <w:p w14:paraId="0DD5E0F8"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123.83</w:t>
            </w:r>
          </w:p>
        </w:tc>
        <w:tc>
          <w:tcPr>
            <w:tcW w:w="2124" w:type="pct"/>
            <w:tcBorders>
              <w:top w:val="nil"/>
              <w:bottom w:val="nil"/>
            </w:tcBorders>
            <w:noWrap/>
            <w:vAlign w:val="center"/>
            <w:hideMark/>
          </w:tcPr>
          <w:p w14:paraId="612447AF"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3.72</w:t>
            </w:r>
          </w:p>
        </w:tc>
      </w:tr>
      <w:tr w:rsidR="00A16A16" w:rsidRPr="00A16A16" w14:paraId="0249758B" w14:textId="77777777" w:rsidTr="004A7EDC">
        <w:trPr>
          <w:trHeight w:val="288"/>
        </w:trPr>
        <w:tc>
          <w:tcPr>
            <w:tcW w:w="853" w:type="pct"/>
            <w:tcBorders>
              <w:top w:val="nil"/>
              <w:bottom w:val="nil"/>
              <w:right w:val="nil"/>
            </w:tcBorders>
            <w:noWrap/>
            <w:vAlign w:val="center"/>
            <w:hideMark/>
          </w:tcPr>
          <w:p w14:paraId="4DCD85BF"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proofErr w:type="spellStart"/>
            <w:r w:rsidRPr="00A16A16">
              <w:rPr>
                <w:rFonts w:cs="Times New Roman" w:hint="eastAsia"/>
                <w:color w:val="000000"/>
                <w:kern w:val="0"/>
                <w:sz w:val="20"/>
                <w:szCs w:val="20"/>
                <w:lang w:bidi="ar-SA"/>
              </w:rPr>
              <w:t>SHSA</w:t>
            </w:r>
            <w:proofErr w:type="spellEnd"/>
          </w:p>
        </w:tc>
        <w:tc>
          <w:tcPr>
            <w:tcW w:w="2023" w:type="pct"/>
            <w:tcBorders>
              <w:top w:val="nil"/>
              <w:left w:val="nil"/>
              <w:bottom w:val="nil"/>
            </w:tcBorders>
            <w:noWrap/>
            <w:vAlign w:val="center"/>
            <w:hideMark/>
          </w:tcPr>
          <w:p w14:paraId="6090CAD3"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170.02</w:t>
            </w:r>
          </w:p>
        </w:tc>
        <w:tc>
          <w:tcPr>
            <w:tcW w:w="2124" w:type="pct"/>
            <w:tcBorders>
              <w:top w:val="nil"/>
              <w:bottom w:val="nil"/>
            </w:tcBorders>
            <w:noWrap/>
            <w:vAlign w:val="center"/>
            <w:hideMark/>
          </w:tcPr>
          <w:p w14:paraId="2DC1E3B5"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8.01</w:t>
            </w:r>
          </w:p>
        </w:tc>
      </w:tr>
      <w:tr w:rsidR="00A16A16" w:rsidRPr="00A16A16" w14:paraId="62806171" w14:textId="77777777" w:rsidTr="004A7EDC">
        <w:trPr>
          <w:trHeight w:val="288"/>
        </w:trPr>
        <w:tc>
          <w:tcPr>
            <w:tcW w:w="853" w:type="pct"/>
            <w:tcBorders>
              <w:top w:val="nil"/>
              <w:bottom w:val="nil"/>
              <w:right w:val="nil"/>
            </w:tcBorders>
            <w:noWrap/>
            <w:vAlign w:val="center"/>
            <w:hideMark/>
          </w:tcPr>
          <w:p w14:paraId="572F005B"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EURO</w:t>
            </w:r>
          </w:p>
        </w:tc>
        <w:tc>
          <w:tcPr>
            <w:tcW w:w="2023" w:type="pct"/>
            <w:tcBorders>
              <w:top w:val="nil"/>
              <w:left w:val="nil"/>
              <w:bottom w:val="nil"/>
            </w:tcBorders>
            <w:noWrap/>
            <w:vAlign w:val="center"/>
            <w:hideMark/>
          </w:tcPr>
          <w:p w14:paraId="412D7901"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58.03</w:t>
            </w:r>
          </w:p>
        </w:tc>
        <w:tc>
          <w:tcPr>
            <w:tcW w:w="2124" w:type="pct"/>
            <w:tcBorders>
              <w:top w:val="nil"/>
              <w:bottom w:val="nil"/>
            </w:tcBorders>
            <w:noWrap/>
            <w:vAlign w:val="center"/>
            <w:hideMark/>
          </w:tcPr>
          <w:p w14:paraId="0887F2F5"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-0.30</w:t>
            </w:r>
          </w:p>
        </w:tc>
      </w:tr>
      <w:tr w:rsidR="00A16A16" w:rsidRPr="00A16A16" w14:paraId="7CAE0EB1" w14:textId="77777777" w:rsidTr="004A7EDC">
        <w:trPr>
          <w:trHeight w:val="288"/>
        </w:trPr>
        <w:tc>
          <w:tcPr>
            <w:tcW w:w="853" w:type="pct"/>
            <w:tcBorders>
              <w:top w:val="nil"/>
              <w:bottom w:val="nil"/>
              <w:right w:val="nil"/>
            </w:tcBorders>
            <w:noWrap/>
            <w:vAlign w:val="center"/>
            <w:hideMark/>
          </w:tcPr>
          <w:p w14:paraId="72270DFB"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MIDE</w:t>
            </w:r>
          </w:p>
        </w:tc>
        <w:tc>
          <w:tcPr>
            <w:tcW w:w="2023" w:type="pct"/>
            <w:tcBorders>
              <w:top w:val="nil"/>
              <w:left w:val="nil"/>
              <w:bottom w:val="nil"/>
            </w:tcBorders>
            <w:noWrap/>
            <w:vAlign w:val="center"/>
            <w:hideMark/>
          </w:tcPr>
          <w:p w14:paraId="5F503F88"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80.63</w:t>
            </w:r>
          </w:p>
        </w:tc>
        <w:tc>
          <w:tcPr>
            <w:tcW w:w="2124" w:type="pct"/>
            <w:tcBorders>
              <w:top w:val="nil"/>
              <w:bottom w:val="nil"/>
            </w:tcBorders>
            <w:noWrap/>
            <w:vAlign w:val="center"/>
            <w:hideMark/>
          </w:tcPr>
          <w:p w14:paraId="24A22D3C"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0.61</w:t>
            </w:r>
          </w:p>
        </w:tc>
      </w:tr>
      <w:tr w:rsidR="00A16A16" w:rsidRPr="00A16A16" w14:paraId="61A4E882" w14:textId="77777777" w:rsidTr="004A7EDC">
        <w:trPr>
          <w:trHeight w:val="288"/>
        </w:trPr>
        <w:tc>
          <w:tcPr>
            <w:tcW w:w="853" w:type="pct"/>
            <w:tcBorders>
              <w:top w:val="nil"/>
              <w:bottom w:val="nil"/>
              <w:right w:val="nil"/>
            </w:tcBorders>
            <w:noWrap/>
            <w:vAlign w:val="center"/>
            <w:hideMark/>
          </w:tcPr>
          <w:p w14:paraId="3C768979"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proofErr w:type="spellStart"/>
            <w:r w:rsidRPr="00A16A16">
              <w:rPr>
                <w:rFonts w:cs="Times New Roman" w:hint="eastAsia"/>
                <w:color w:val="000000"/>
                <w:kern w:val="0"/>
                <w:sz w:val="20"/>
                <w:szCs w:val="20"/>
                <w:lang w:bidi="ar-SA"/>
              </w:rPr>
              <w:t>NHAF</w:t>
            </w:r>
            <w:proofErr w:type="spellEnd"/>
          </w:p>
        </w:tc>
        <w:tc>
          <w:tcPr>
            <w:tcW w:w="2023" w:type="pct"/>
            <w:tcBorders>
              <w:top w:val="nil"/>
              <w:left w:val="nil"/>
              <w:bottom w:val="nil"/>
            </w:tcBorders>
            <w:noWrap/>
            <w:vAlign w:val="center"/>
            <w:hideMark/>
          </w:tcPr>
          <w:p w14:paraId="2A84B376"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269.14</w:t>
            </w:r>
          </w:p>
        </w:tc>
        <w:tc>
          <w:tcPr>
            <w:tcW w:w="2124" w:type="pct"/>
            <w:tcBorders>
              <w:top w:val="nil"/>
              <w:bottom w:val="nil"/>
            </w:tcBorders>
            <w:noWrap/>
            <w:vAlign w:val="center"/>
            <w:hideMark/>
          </w:tcPr>
          <w:p w14:paraId="3FE57ACD"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-5.14</w:t>
            </w:r>
          </w:p>
        </w:tc>
      </w:tr>
      <w:tr w:rsidR="00A16A16" w:rsidRPr="00A16A16" w14:paraId="54FE00AC" w14:textId="77777777" w:rsidTr="004A7EDC">
        <w:trPr>
          <w:trHeight w:val="288"/>
        </w:trPr>
        <w:tc>
          <w:tcPr>
            <w:tcW w:w="853" w:type="pct"/>
            <w:tcBorders>
              <w:top w:val="nil"/>
              <w:bottom w:val="nil"/>
              <w:right w:val="nil"/>
            </w:tcBorders>
            <w:noWrap/>
            <w:vAlign w:val="center"/>
            <w:hideMark/>
          </w:tcPr>
          <w:p w14:paraId="0E789B7F"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SHAF</w:t>
            </w:r>
          </w:p>
        </w:tc>
        <w:tc>
          <w:tcPr>
            <w:tcW w:w="2023" w:type="pct"/>
            <w:tcBorders>
              <w:top w:val="nil"/>
              <w:left w:val="nil"/>
              <w:bottom w:val="nil"/>
            </w:tcBorders>
            <w:noWrap/>
            <w:vAlign w:val="center"/>
            <w:hideMark/>
          </w:tcPr>
          <w:p w14:paraId="43F20990"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337.60</w:t>
            </w:r>
          </w:p>
        </w:tc>
        <w:tc>
          <w:tcPr>
            <w:tcW w:w="2124" w:type="pct"/>
            <w:tcBorders>
              <w:top w:val="nil"/>
              <w:bottom w:val="nil"/>
            </w:tcBorders>
            <w:noWrap/>
            <w:vAlign w:val="center"/>
            <w:hideMark/>
          </w:tcPr>
          <w:p w14:paraId="3765BC85"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-1.77</w:t>
            </w:r>
          </w:p>
        </w:tc>
      </w:tr>
      <w:tr w:rsidR="00A16A16" w:rsidRPr="00A16A16" w14:paraId="5B841F6A" w14:textId="77777777" w:rsidTr="004A7EDC">
        <w:trPr>
          <w:trHeight w:val="288"/>
        </w:trPr>
        <w:tc>
          <w:tcPr>
            <w:tcW w:w="853" w:type="pct"/>
            <w:tcBorders>
              <w:top w:val="nil"/>
              <w:bottom w:val="nil"/>
              <w:right w:val="nil"/>
            </w:tcBorders>
            <w:noWrap/>
            <w:vAlign w:val="center"/>
            <w:hideMark/>
          </w:tcPr>
          <w:p w14:paraId="2F6CB5D4"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BOAS</w:t>
            </w:r>
          </w:p>
        </w:tc>
        <w:tc>
          <w:tcPr>
            <w:tcW w:w="2023" w:type="pct"/>
            <w:tcBorders>
              <w:top w:val="nil"/>
              <w:left w:val="nil"/>
              <w:bottom w:val="nil"/>
            </w:tcBorders>
            <w:noWrap/>
            <w:vAlign w:val="center"/>
            <w:hideMark/>
          </w:tcPr>
          <w:p w14:paraId="78885CB4"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460.83</w:t>
            </w:r>
          </w:p>
        </w:tc>
        <w:tc>
          <w:tcPr>
            <w:tcW w:w="2124" w:type="pct"/>
            <w:tcBorders>
              <w:top w:val="nil"/>
              <w:bottom w:val="nil"/>
            </w:tcBorders>
            <w:noWrap/>
            <w:vAlign w:val="center"/>
            <w:hideMark/>
          </w:tcPr>
          <w:p w14:paraId="22596BAA"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17.48</w:t>
            </w:r>
          </w:p>
        </w:tc>
      </w:tr>
      <w:tr w:rsidR="00A16A16" w:rsidRPr="00A16A16" w14:paraId="5E68AE04" w14:textId="77777777" w:rsidTr="004A7EDC">
        <w:trPr>
          <w:trHeight w:val="288"/>
        </w:trPr>
        <w:tc>
          <w:tcPr>
            <w:tcW w:w="853" w:type="pct"/>
            <w:tcBorders>
              <w:top w:val="nil"/>
              <w:bottom w:val="nil"/>
              <w:right w:val="nil"/>
            </w:tcBorders>
            <w:noWrap/>
            <w:vAlign w:val="center"/>
            <w:hideMark/>
          </w:tcPr>
          <w:p w14:paraId="76B60A5C"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CEAS</w:t>
            </w:r>
          </w:p>
        </w:tc>
        <w:tc>
          <w:tcPr>
            <w:tcW w:w="2023" w:type="pct"/>
            <w:tcBorders>
              <w:top w:val="nil"/>
              <w:left w:val="nil"/>
              <w:bottom w:val="nil"/>
            </w:tcBorders>
            <w:noWrap/>
            <w:vAlign w:val="center"/>
            <w:hideMark/>
          </w:tcPr>
          <w:p w14:paraId="40B857FE"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50.72</w:t>
            </w:r>
          </w:p>
        </w:tc>
        <w:tc>
          <w:tcPr>
            <w:tcW w:w="2124" w:type="pct"/>
            <w:tcBorders>
              <w:top w:val="nil"/>
              <w:bottom w:val="nil"/>
            </w:tcBorders>
            <w:noWrap/>
            <w:vAlign w:val="center"/>
            <w:hideMark/>
          </w:tcPr>
          <w:p w14:paraId="7B148CC0"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-0.30</w:t>
            </w:r>
          </w:p>
        </w:tc>
      </w:tr>
      <w:tr w:rsidR="00A16A16" w:rsidRPr="00A16A16" w14:paraId="1096E50E" w14:textId="77777777" w:rsidTr="004A7EDC">
        <w:trPr>
          <w:trHeight w:val="288"/>
        </w:trPr>
        <w:tc>
          <w:tcPr>
            <w:tcW w:w="853" w:type="pct"/>
            <w:tcBorders>
              <w:top w:val="nil"/>
              <w:bottom w:val="nil"/>
              <w:right w:val="nil"/>
            </w:tcBorders>
            <w:noWrap/>
            <w:vAlign w:val="center"/>
            <w:hideMark/>
          </w:tcPr>
          <w:p w14:paraId="70E8AA7D"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SEAS</w:t>
            </w:r>
          </w:p>
        </w:tc>
        <w:tc>
          <w:tcPr>
            <w:tcW w:w="2023" w:type="pct"/>
            <w:tcBorders>
              <w:top w:val="nil"/>
              <w:left w:val="nil"/>
              <w:bottom w:val="nil"/>
            </w:tcBorders>
            <w:noWrap/>
            <w:vAlign w:val="center"/>
            <w:hideMark/>
          </w:tcPr>
          <w:p w14:paraId="28E171DA"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125.39</w:t>
            </w:r>
          </w:p>
        </w:tc>
        <w:tc>
          <w:tcPr>
            <w:tcW w:w="2124" w:type="pct"/>
            <w:tcBorders>
              <w:top w:val="nil"/>
              <w:bottom w:val="nil"/>
            </w:tcBorders>
            <w:noWrap/>
            <w:vAlign w:val="center"/>
            <w:hideMark/>
          </w:tcPr>
          <w:p w14:paraId="6BD97629"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-2.72</w:t>
            </w:r>
          </w:p>
        </w:tc>
      </w:tr>
      <w:tr w:rsidR="00A16A16" w:rsidRPr="00A16A16" w14:paraId="5A242A8C" w14:textId="77777777" w:rsidTr="004A7EDC">
        <w:trPr>
          <w:trHeight w:val="70"/>
        </w:trPr>
        <w:tc>
          <w:tcPr>
            <w:tcW w:w="853" w:type="pct"/>
            <w:tcBorders>
              <w:top w:val="nil"/>
              <w:bottom w:val="nil"/>
              <w:right w:val="nil"/>
            </w:tcBorders>
            <w:noWrap/>
            <w:vAlign w:val="center"/>
            <w:hideMark/>
          </w:tcPr>
          <w:p w14:paraId="07DDFBC4"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EQAS</w:t>
            </w:r>
          </w:p>
        </w:tc>
        <w:tc>
          <w:tcPr>
            <w:tcW w:w="2023" w:type="pct"/>
            <w:tcBorders>
              <w:top w:val="nil"/>
              <w:left w:val="nil"/>
              <w:bottom w:val="nil"/>
            </w:tcBorders>
            <w:noWrap/>
            <w:vAlign w:val="center"/>
            <w:hideMark/>
          </w:tcPr>
          <w:p w14:paraId="6A105216"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154.30</w:t>
            </w:r>
          </w:p>
        </w:tc>
        <w:tc>
          <w:tcPr>
            <w:tcW w:w="2124" w:type="pct"/>
            <w:tcBorders>
              <w:top w:val="nil"/>
              <w:bottom w:val="nil"/>
            </w:tcBorders>
            <w:noWrap/>
            <w:vAlign w:val="center"/>
            <w:hideMark/>
          </w:tcPr>
          <w:p w14:paraId="0F2A0590"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-11.19</w:t>
            </w:r>
          </w:p>
        </w:tc>
      </w:tr>
      <w:tr w:rsidR="00A16A16" w:rsidRPr="00A16A16" w14:paraId="4EED3410" w14:textId="77777777" w:rsidTr="004A7EDC">
        <w:trPr>
          <w:trHeight w:val="288"/>
        </w:trPr>
        <w:tc>
          <w:tcPr>
            <w:tcW w:w="853" w:type="pct"/>
            <w:tcBorders>
              <w:top w:val="nil"/>
              <w:right w:val="nil"/>
            </w:tcBorders>
            <w:noWrap/>
            <w:vAlign w:val="center"/>
            <w:hideMark/>
          </w:tcPr>
          <w:p w14:paraId="38811068"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AUST</w:t>
            </w:r>
          </w:p>
        </w:tc>
        <w:tc>
          <w:tcPr>
            <w:tcW w:w="2023" w:type="pct"/>
            <w:tcBorders>
              <w:top w:val="nil"/>
              <w:left w:val="nil"/>
            </w:tcBorders>
            <w:noWrap/>
            <w:vAlign w:val="center"/>
            <w:hideMark/>
          </w:tcPr>
          <w:p w14:paraId="4A5F2D90"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189.94</w:t>
            </w:r>
          </w:p>
        </w:tc>
        <w:tc>
          <w:tcPr>
            <w:tcW w:w="2124" w:type="pct"/>
            <w:tcBorders>
              <w:top w:val="nil"/>
            </w:tcBorders>
            <w:noWrap/>
            <w:vAlign w:val="center"/>
            <w:hideMark/>
          </w:tcPr>
          <w:p w14:paraId="4063C79A" w14:textId="77777777" w:rsidR="00A16A16" w:rsidRPr="00A16A16" w:rsidRDefault="00A16A16" w:rsidP="00A16A16">
            <w:pPr>
              <w:widowControl/>
              <w:spacing w:beforeLines="0" w:before="0" w:afterLines="0" w:after="0" w:line="240" w:lineRule="auto"/>
              <w:jc w:val="center"/>
              <w:rPr>
                <w:rFonts w:cs="Times New Roman"/>
                <w:color w:val="000000"/>
                <w:kern w:val="0"/>
                <w:sz w:val="20"/>
                <w:szCs w:val="20"/>
                <w:lang w:bidi="ar-SA"/>
              </w:rPr>
            </w:pPr>
            <w:r w:rsidRPr="00A16A16">
              <w:rPr>
                <w:rFonts w:cs="Times New Roman" w:hint="eastAsia"/>
                <w:color w:val="000000"/>
                <w:kern w:val="0"/>
                <w:sz w:val="20"/>
                <w:szCs w:val="20"/>
                <w:lang w:bidi="ar-SA"/>
              </w:rPr>
              <w:t>0.85</w:t>
            </w:r>
          </w:p>
        </w:tc>
      </w:tr>
    </w:tbl>
    <w:p w14:paraId="5A2B5FFA" w14:textId="77777777" w:rsidR="00A16A16" w:rsidRPr="0087040C" w:rsidRDefault="00A16A16" w:rsidP="00D8463C">
      <w:pPr>
        <w:spacing w:before="156" w:after="156"/>
        <w:rPr>
          <w:rFonts w:cs="Times New Roman"/>
          <w:color w:val="000000" w:themeColor="text1"/>
          <w:sz w:val="20"/>
          <w:szCs w:val="20"/>
        </w:rPr>
      </w:pPr>
    </w:p>
    <w:p w14:paraId="47ACB077" w14:textId="6E2D8F10" w:rsidR="0087040C" w:rsidRPr="0087040C" w:rsidRDefault="0087040C" w:rsidP="00156F66">
      <w:pPr>
        <w:spacing w:before="156" w:after="156"/>
        <w:rPr>
          <w:rFonts w:cs="Times New Roman"/>
          <w:color w:val="000000" w:themeColor="text1"/>
          <w:sz w:val="20"/>
          <w:szCs w:val="20"/>
        </w:rPr>
      </w:pPr>
      <w:r>
        <w:rPr>
          <w:rFonts w:cs="Times New Roman" w:hint="eastAsia"/>
          <w:color w:val="000000" w:themeColor="text1"/>
          <w:sz w:val="20"/>
          <w:szCs w:val="20"/>
        </w:rPr>
        <w:t>10.</w:t>
      </w:r>
      <w:r w:rsidRPr="0087040C">
        <w:t xml:space="preserve"> </w:t>
      </w:r>
      <w:r w:rsidRPr="0087040C">
        <w:rPr>
          <w:rFonts w:cs="Times New Roman"/>
          <w:color w:val="000000" w:themeColor="text1"/>
          <w:sz w:val="20"/>
          <w:szCs w:val="20"/>
        </w:rPr>
        <w:t>Supplementary material: Please ensure all figures and tables are explicitly referenced in the main text.</w:t>
      </w:r>
    </w:p>
    <w:p w14:paraId="7803163A" w14:textId="0CAF8615" w:rsidR="0087040C" w:rsidRPr="00D8463C" w:rsidRDefault="0087040C" w:rsidP="00156F66">
      <w:pPr>
        <w:spacing w:before="156" w:after="156"/>
        <w:rPr>
          <w:rFonts w:cs="Times New Roman"/>
          <w:color w:val="000000" w:themeColor="text1"/>
          <w:sz w:val="20"/>
          <w:szCs w:val="20"/>
        </w:rPr>
      </w:pPr>
      <w:r w:rsidRPr="0087040C">
        <w:rPr>
          <w:rFonts w:cs="Times New Roman"/>
          <w:b/>
          <w:bCs/>
          <w:color w:val="000000" w:themeColor="text1"/>
          <w:sz w:val="20"/>
          <w:szCs w:val="20"/>
        </w:rPr>
        <w:t>Response:</w:t>
      </w:r>
      <w:r w:rsidRPr="0087040C">
        <w:rPr>
          <w:rFonts w:cs="Times New Roman"/>
          <w:color w:val="000000" w:themeColor="text1"/>
          <w:sz w:val="20"/>
          <w:szCs w:val="20"/>
        </w:rPr>
        <w:t xml:space="preserve"> </w:t>
      </w:r>
      <w:r w:rsidR="00BF0BFB" w:rsidRPr="00BF0BFB">
        <w:rPr>
          <w:rFonts w:cs="Times New Roman"/>
          <w:color w:val="000000" w:themeColor="text1"/>
          <w:sz w:val="20"/>
          <w:szCs w:val="20"/>
        </w:rPr>
        <w:t xml:space="preserve">We appreciate this important reminder regarding the linkage between the main text and the </w:t>
      </w:r>
      <w:r w:rsidR="00BF0BFB" w:rsidRPr="00BF0BFB">
        <w:rPr>
          <w:rFonts w:cs="Times New Roman"/>
          <w:color w:val="000000" w:themeColor="text1"/>
          <w:sz w:val="20"/>
          <w:szCs w:val="20"/>
        </w:rPr>
        <w:lastRenderedPageBreak/>
        <w:t>supplementary information. We have performed a systematic check of the manuscript to ensure that every figure and table included in the Supplementary Material is explicitly and correctly referenced within the main text.</w:t>
      </w:r>
    </w:p>
    <w:p w14:paraId="0EC63950" w14:textId="77777777" w:rsidR="00773DAF" w:rsidRDefault="00773DAF" w:rsidP="00773DAF">
      <w:pPr>
        <w:spacing w:before="156" w:after="156"/>
      </w:pPr>
      <w:r>
        <w:t>----------------------------------------------------------------------------------------</w:t>
      </w:r>
    </w:p>
    <w:p w14:paraId="2C28D6B5" w14:textId="073CFB06" w:rsidR="00580B0E" w:rsidRPr="006B63DD" w:rsidRDefault="00294A37" w:rsidP="00294A37">
      <w:pPr>
        <w:spacing w:before="156" w:after="156"/>
      </w:pPr>
      <w:r>
        <w:t>Finally, we express our sincere gratitude to the reviewer for identifying the issues and providing us with the opportunity to revise this paper. These comments are essential to improve the quality of the paper. We have rigorously post-processed the ensemble outputs to include pixel-level statistics, ensuring users can access immediate uncertainty information. The Discussion part has been strengthened to explicitly analyze the omission errors in satellite observations and the rationale for prioritizing temporal homogeneity in trend analysis. In addition, we have added more tables in the supplementary materials to support the regional trend results and completely reformatted the dataset descriptions for clarity. Following the major revision, the abstract has become more precise, and the limitations of the methodology are now transparently addressed. Besides aforementioned revision, some parts and descriptions are also changed. We have highlighted the revised part in yellow color, for more details, please refer to the manuscript and supplementary material. Sincerely hope the revision is satisfying.</w:t>
      </w:r>
    </w:p>
    <w:sectPr w:rsidR="00580B0E" w:rsidRPr="006B63DD">
      <w:headerReference w:type="even" r:id="rId10"/>
      <w:headerReference w:type="default" r:id="rId11"/>
      <w:footerReference w:type="even" r:id="rId12"/>
      <w:footerReference w:type="default" r:id="rId13"/>
      <w:headerReference w:type="first" r:id="rId14"/>
      <w:footerReference w:type="first" r:id="rId1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CC258A" w14:textId="77777777" w:rsidR="00BB7701" w:rsidRDefault="00BB7701" w:rsidP="00791A5F">
      <w:pPr>
        <w:spacing w:before="120" w:after="120" w:line="240" w:lineRule="auto"/>
      </w:pPr>
      <w:r>
        <w:separator/>
      </w:r>
    </w:p>
  </w:endnote>
  <w:endnote w:type="continuationSeparator" w:id="0">
    <w:p w14:paraId="2167FC21" w14:textId="77777777" w:rsidR="00BB7701" w:rsidRDefault="00BB7701" w:rsidP="00791A5F">
      <w:pPr>
        <w:spacing w:before="120" w:after="12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E29906" w14:textId="77777777" w:rsidR="007C33B9" w:rsidRDefault="007C33B9">
    <w:pPr>
      <w:pStyle w:val="af0"/>
      <w:spacing w:before="120" w:after="1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07598B" w14:textId="77777777" w:rsidR="007C33B9" w:rsidRDefault="007C33B9">
    <w:pPr>
      <w:pStyle w:val="af0"/>
      <w:spacing w:before="120" w:after="12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4E68F6" w14:textId="77777777" w:rsidR="007C33B9" w:rsidRDefault="007C33B9">
    <w:pPr>
      <w:pStyle w:val="af0"/>
      <w:spacing w:before="120" w:after="12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3FF51B" w14:textId="77777777" w:rsidR="00BB7701" w:rsidRDefault="00BB7701" w:rsidP="00791A5F">
      <w:pPr>
        <w:spacing w:before="120" w:after="120" w:line="240" w:lineRule="auto"/>
      </w:pPr>
      <w:r>
        <w:separator/>
      </w:r>
    </w:p>
  </w:footnote>
  <w:footnote w:type="continuationSeparator" w:id="0">
    <w:p w14:paraId="1EF7C4A2" w14:textId="77777777" w:rsidR="00BB7701" w:rsidRDefault="00BB7701" w:rsidP="00791A5F">
      <w:pPr>
        <w:spacing w:before="120" w:after="12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FE3AD6" w14:textId="77777777" w:rsidR="007C33B9" w:rsidRDefault="007C33B9">
    <w:pPr>
      <w:pStyle w:val="ae"/>
      <w:spacing w:before="120" w:after="12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888B12" w14:textId="77777777" w:rsidR="007C33B9" w:rsidRDefault="007C33B9">
    <w:pPr>
      <w:pStyle w:val="ae"/>
      <w:spacing w:before="120" w:after="12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1C2F75" w14:textId="77777777" w:rsidR="007C33B9" w:rsidRDefault="007C33B9">
    <w:pPr>
      <w:pStyle w:val="ae"/>
      <w:spacing w:before="120" w:after="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D22D2C"/>
    <w:multiLevelType w:val="hybridMultilevel"/>
    <w:tmpl w:val="40DA68B4"/>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0E034605"/>
    <w:multiLevelType w:val="hybridMultilevel"/>
    <w:tmpl w:val="D1E24CF2"/>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 w15:restartNumberingAfterBreak="0">
    <w:nsid w:val="0ECB29E1"/>
    <w:multiLevelType w:val="hybridMultilevel"/>
    <w:tmpl w:val="C4A43E32"/>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3" w15:restartNumberingAfterBreak="0">
    <w:nsid w:val="13555BA5"/>
    <w:multiLevelType w:val="hybridMultilevel"/>
    <w:tmpl w:val="48729E34"/>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4" w15:restartNumberingAfterBreak="0">
    <w:nsid w:val="1AFC5D8D"/>
    <w:multiLevelType w:val="hybridMultilevel"/>
    <w:tmpl w:val="5B1EE2AC"/>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5" w15:restartNumberingAfterBreak="0">
    <w:nsid w:val="4E7D683B"/>
    <w:multiLevelType w:val="hybridMultilevel"/>
    <w:tmpl w:val="E2C42740"/>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334726074">
    <w:abstractNumId w:val="4"/>
  </w:num>
  <w:num w:numId="2" w16cid:durableId="797065833">
    <w:abstractNumId w:val="0"/>
  </w:num>
  <w:num w:numId="3" w16cid:durableId="874345489">
    <w:abstractNumId w:val="2"/>
  </w:num>
  <w:num w:numId="4" w16cid:durableId="152110995">
    <w:abstractNumId w:val="5"/>
  </w:num>
  <w:num w:numId="5" w16cid:durableId="1945380783">
    <w:abstractNumId w:val="3"/>
  </w:num>
  <w:num w:numId="6" w16cid:durableId="200011500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3A86"/>
    <w:rsid w:val="000039C1"/>
    <w:rsid w:val="0003349E"/>
    <w:rsid w:val="000962E1"/>
    <w:rsid w:val="000D4A11"/>
    <w:rsid w:val="00121BB9"/>
    <w:rsid w:val="0013342F"/>
    <w:rsid w:val="00156F66"/>
    <w:rsid w:val="001A0629"/>
    <w:rsid w:val="001C3AA3"/>
    <w:rsid w:val="001F1EA7"/>
    <w:rsid w:val="002709A8"/>
    <w:rsid w:val="0029356C"/>
    <w:rsid w:val="00294A37"/>
    <w:rsid w:val="002D09E4"/>
    <w:rsid w:val="00301D6A"/>
    <w:rsid w:val="00307E0F"/>
    <w:rsid w:val="0032589A"/>
    <w:rsid w:val="00401F77"/>
    <w:rsid w:val="00416621"/>
    <w:rsid w:val="00420FBB"/>
    <w:rsid w:val="00485B93"/>
    <w:rsid w:val="004A2220"/>
    <w:rsid w:val="004B5536"/>
    <w:rsid w:val="004D7C51"/>
    <w:rsid w:val="00580B0E"/>
    <w:rsid w:val="005A1769"/>
    <w:rsid w:val="00647B19"/>
    <w:rsid w:val="00657787"/>
    <w:rsid w:val="006A77DA"/>
    <w:rsid w:val="006B0713"/>
    <w:rsid w:val="006B63DD"/>
    <w:rsid w:val="00711D89"/>
    <w:rsid w:val="007124AA"/>
    <w:rsid w:val="00723BFA"/>
    <w:rsid w:val="0076250C"/>
    <w:rsid w:val="00773DAF"/>
    <w:rsid w:val="00791A5F"/>
    <w:rsid w:val="007C33B9"/>
    <w:rsid w:val="007D4468"/>
    <w:rsid w:val="007F7012"/>
    <w:rsid w:val="00821A27"/>
    <w:rsid w:val="008331AB"/>
    <w:rsid w:val="0087040C"/>
    <w:rsid w:val="00875AE5"/>
    <w:rsid w:val="008E35B6"/>
    <w:rsid w:val="00993007"/>
    <w:rsid w:val="00A112A6"/>
    <w:rsid w:val="00A16A16"/>
    <w:rsid w:val="00A20E69"/>
    <w:rsid w:val="00A9031C"/>
    <w:rsid w:val="00AF0327"/>
    <w:rsid w:val="00AF7AB9"/>
    <w:rsid w:val="00B8713B"/>
    <w:rsid w:val="00BB7701"/>
    <w:rsid w:val="00BC4510"/>
    <w:rsid w:val="00BC6A28"/>
    <w:rsid w:val="00BF0BFB"/>
    <w:rsid w:val="00C36CA5"/>
    <w:rsid w:val="00C54CF8"/>
    <w:rsid w:val="00CA7024"/>
    <w:rsid w:val="00CE50AF"/>
    <w:rsid w:val="00D03A86"/>
    <w:rsid w:val="00D8463C"/>
    <w:rsid w:val="00D90C4C"/>
    <w:rsid w:val="00DA1C95"/>
    <w:rsid w:val="00DC25CB"/>
    <w:rsid w:val="00DF6289"/>
    <w:rsid w:val="00E16FD8"/>
    <w:rsid w:val="00E2051C"/>
    <w:rsid w:val="00E50126"/>
    <w:rsid w:val="00E6708D"/>
    <w:rsid w:val="00E92865"/>
    <w:rsid w:val="00EC45AA"/>
    <w:rsid w:val="00EE0F9C"/>
    <w:rsid w:val="00F04F94"/>
    <w:rsid w:val="00F47C7C"/>
    <w:rsid w:val="00F97810"/>
    <w:rsid w:val="00FE22E2"/>
    <w:rsid w:val="00FE25B9"/>
    <w:rsid w:val="00FE5D32"/>
    <w:rsid w:val="00FF25C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550825C"/>
  <w15:chartTrackingRefBased/>
  <w15:docId w15:val="{E7D3106C-0AF6-44E6-98A7-98D161F3D0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F0BFB"/>
    <w:pPr>
      <w:widowControl w:val="0"/>
      <w:spacing w:beforeLines="50" w:before="50" w:afterLines="50" w:after="50" w:line="360" w:lineRule="auto"/>
      <w:jc w:val="both"/>
    </w:pPr>
    <w:rPr>
      <w:rFonts w:ascii="Times New Roman" w:eastAsia="宋体" w:hAnsi="Times New Roman"/>
      <w:sz w:val="21"/>
      <w:szCs w:val="22"/>
      <w:lang w:bidi="ug-CN"/>
      <w14:ligatures w14:val="none"/>
    </w:rPr>
  </w:style>
  <w:style w:type="paragraph" w:styleId="1">
    <w:name w:val="heading 1"/>
    <w:basedOn w:val="a"/>
    <w:next w:val="a"/>
    <w:link w:val="10"/>
    <w:uiPriority w:val="9"/>
    <w:qFormat/>
    <w:rsid w:val="00D03A86"/>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iPriority w:val="9"/>
    <w:semiHidden/>
    <w:unhideWhenUsed/>
    <w:qFormat/>
    <w:rsid w:val="00D03A86"/>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semiHidden/>
    <w:unhideWhenUsed/>
    <w:qFormat/>
    <w:rsid w:val="00D03A86"/>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
    <w:next w:val="a"/>
    <w:link w:val="40"/>
    <w:uiPriority w:val="9"/>
    <w:semiHidden/>
    <w:unhideWhenUsed/>
    <w:qFormat/>
    <w:rsid w:val="00D03A86"/>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rsid w:val="00D03A86"/>
    <w:pPr>
      <w:keepNext/>
      <w:keepLines/>
      <w:spacing w:before="80" w:after="40"/>
      <w:outlineLvl w:val="4"/>
    </w:pPr>
    <w:rPr>
      <w:rFonts w:cstheme="majorBidi"/>
      <w:color w:val="0F4761" w:themeColor="accent1" w:themeShade="BF"/>
      <w:sz w:val="24"/>
    </w:rPr>
  </w:style>
  <w:style w:type="paragraph" w:styleId="6">
    <w:name w:val="heading 6"/>
    <w:basedOn w:val="a"/>
    <w:next w:val="a"/>
    <w:link w:val="60"/>
    <w:uiPriority w:val="9"/>
    <w:semiHidden/>
    <w:unhideWhenUsed/>
    <w:qFormat/>
    <w:rsid w:val="00D03A86"/>
    <w:pPr>
      <w:keepNext/>
      <w:keepLines/>
      <w:spacing w:before="40" w:after="0"/>
      <w:outlineLvl w:val="5"/>
    </w:pPr>
    <w:rPr>
      <w:rFonts w:cstheme="majorBidi"/>
      <w:b/>
      <w:bCs/>
      <w:color w:val="0F4761" w:themeColor="accent1" w:themeShade="BF"/>
    </w:rPr>
  </w:style>
  <w:style w:type="paragraph" w:styleId="7">
    <w:name w:val="heading 7"/>
    <w:basedOn w:val="a"/>
    <w:next w:val="a"/>
    <w:link w:val="70"/>
    <w:uiPriority w:val="9"/>
    <w:semiHidden/>
    <w:unhideWhenUsed/>
    <w:qFormat/>
    <w:rsid w:val="00D03A86"/>
    <w:pPr>
      <w:keepNext/>
      <w:keepLines/>
      <w:spacing w:before="40" w:after="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D03A86"/>
    <w:pPr>
      <w:keepNext/>
      <w:keepLines/>
      <w:spacing w:after="0"/>
      <w:outlineLvl w:val="7"/>
    </w:pPr>
    <w:rPr>
      <w:rFonts w:cstheme="majorBidi"/>
      <w:color w:val="595959" w:themeColor="text1" w:themeTint="A6"/>
    </w:rPr>
  </w:style>
  <w:style w:type="paragraph" w:styleId="9">
    <w:name w:val="heading 9"/>
    <w:basedOn w:val="a"/>
    <w:next w:val="a"/>
    <w:link w:val="90"/>
    <w:uiPriority w:val="9"/>
    <w:semiHidden/>
    <w:unhideWhenUsed/>
    <w:qFormat/>
    <w:rsid w:val="00D03A86"/>
    <w:pPr>
      <w:keepNext/>
      <w:keepLines/>
      <w:spacing w:after="0"/>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D03A86"/>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semiHidden/>
    <w:rsid w:val="00D03A86"/>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semiHidden/>
    <w:rsid w:val="00D03A86"/>
    <w:rPr>
      <w:rFonts w:asciiTheme="majorHAnsi" w:eastAsiaTheme="majorEastAsia" w:hAnsiTheme="majorHAnsi" w:cstheme="majorBidi"/>
      <w:color w:val="0F4761" w:themeColor="accent1" w:themeShade="BF"/>
      <w:sz w:val="32"/>
      <w:szCs w:val="32"/>
    </w:rPr>
  </w:style>
  <w:style w:type="character" w:customStyle="1" w:styleId="40">
    <w:name w:val="标题 4 字符"/>
    <w:basedOn w:val="a0"/>
    <w:link w:val="4"/>
    <w:uiPriority w:val="9"/>
    <w:semiHidden/>
    <w:rsid w:val="00D03A86"/>
    <w:rPr>
      <w:rFonts w:cstheme="majorBidi"/>
      <w:color w:val="0F4761" w:themeColor="accent1" w:themeShade="BF"/>
      <w:sz w:val="28"/>
      <w:szCs w:val="28"/>
    </w:rPr>
  </w:style>
  <w:style w:type="character" w:customStyle="1" w:styleId="50">
    <w:name w:val="标题 5 字符"/>
    <w:basedOn w:val="a0"/>
    <w:link w:val="5"/>
    <w:uiPriority w:val="9"/>
    <w:semiHidden/>
    <w:rsid w:val="00D03A86"/>
    <w:rPr>
      <w:rFonts w:cstheme="majorBidi"/>
      <w:color w:val="0F4761" w:themeColor="accent1" w:themeShade="BF"/>
      <w:sz w:val="24"/>
    </w:rPr>
  </w:style>
  <w:style w:type="character" w:customStyle="1" w:styleId="60">
    <w:name w:val="标题 6 字符"/>
    <w:basedOn w:val="a0"/>
    <w:link w:val="6"/>
    <w:uiPriority w:val="9"/>
    <w:semiHidden/>
    <w:rsid w:val="00D03A86"/>
    <w:rPr>
      <w:rFonts w:cstheme="majorBidi"/>
      <w:b/>
      <w:bCs/>
      <w:color w:val="0F4761" w:themeColor="accent1" w:themeShade="BF"/>
    </w:rPr>
  </w:style>
  <w:style w:type="character" w:customStyle="1" w:styleId="70">
    <w:name w:val="标题 7 字符"/>
    <w:basedOn w:val="a0"/>
    <w:link w:val="7"/>
    <w:uiPriority w:val="9"/>
    <w:semiHidden/>
    <w:rsid w:val="00D03A86"/>
    <w:rPr>
      <w:rFonts w:cstheme="majorBidi"/>
      <w:b/>
      <w:bCs/>
      <w:color w:val="595959" w:themeColor="text1" w:themeTint="A6"/>
    </w:rPr>
  </w:style>
  <w:style w:type="character" w:customStyle="1" w:styleId="80">
    <w:name w:val="标题 8 字符"/>
    <w:basedOn w:val="a0"/>
    <w:link w:val="8"/>
    <w:uiPriority w:val="9"/>
    <w:semiHidden/>
    <w:rsid w:val="00D03A86"/>
    <w:rPr>
      <w:rFonts w:cstheme="majorBidi"/>
      <w:color w:val="595959" w:themeColor="text1" w:themeTint="A6"/>
    </w:rPr>
  </w:style>
  <w:style w:type="character" w:customStyle="1" w:styleId="90">
    <w:name w:val="标题 9 字符"/>
    <w:basedOn w:val="a0"/>
    <w:link w:val="9"/>
    <w:uiPriority w:val="9"/>
    <w:semiHidden/>
    <w:rsid w:val="00D03A86"/>
    <w:rPr>
      <w:rFonts w:eastAsiaTheme="majorEastAsia" w:cstheme="majorBidi"/>
      <w:color w:val="595959" w:themeColor="text1" w:themeTint="A6"/>
    </w:rPr>
  </w:style>
  <w:style w:type="paragraph" w:styleId="a3">
    <w:name w:val="Title"/>
    <w:basedOn w:val="a"/>
    <w:next w:val="a"/>
    <w:link w:val="a4"/>
    <w:uiPriority w:val="10"/>
    <w:qFormat/>
    <w:rsid w:val="00D03A86"/>
    <w:pPr>
      <w:spacing w:after="80" w:line="240" w:lineRule="auto"/>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D03A86"/>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D03A86"/>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D03A86"/>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D03A86"/>
    <w:pPr>
      <w:spacing w:before="160"/>
      <w:jc w:val="center"/>
    </w:pPr>
    <w:rPr>
      <w:i/>
      <w:iCs/>
      <w:color w:val="404040" w:themeColor="text1" w:themeTint="BF"/>
    </w:rPr>
  </w:style>
  <w:style w:type="character" w:customStyle="1" w:styleId="a8">
    <w:name w:val="引用 字符"/>
    <w:basedOn w:val="a0"/>
    <w:link w:val="a7"/>
    <w:uiPriority w:val="29"/>
    <w:rsid w:val="00D03A86"/>
    <w:rPr>
      <w:i/>
      <w:iCs/>
      <w:color w:val="404040" w:themeColor="text1" w:themeTint="BF"/>
    </w:rPr>
  </w:style>
  <w:style w:type="paragraph" w:styleId="a9">
    <w:name w:val="List Paragraph"/>
    <w:basedOn w:val="a"/>
    <w:uiPriority w:val="34"/>
    <w:qFormat/>
    <w:rsid w:val="00D03A86"/>
    <w:pPr>
      <w:ind w:left="720"/>
      <w:contextualSpacing/>
    </w:pPr>
  </w:style>
  <w:style w:type="character" w:styleId="aa">
    <w:name w:val="Intense Emphasis"/>
    <w:basedOn w:val="a0"/>
    <w:uiPriority w:val="21"/>
    <w:qFormat/>
    <w:rsid w:val="00D03A86"/>
    <w:rPr>
      <w:i/>
      <w:iCs/>
      <w:color w:val="0F4761" w:themeColor="accent1" w:themeShade="BF"/>
    </w:rPr>
  </w:style>
  <w:style w:type="paragraph" w:styleId="ab">
    <w:name w:val="Intense Quote"/>
    <w:basedOn w:val="a"/>
    <w:next w:val="a"/>
    <w:link w:val="ac"/>
    <w:uiPriority w:val="30"/>
    <w:qFormat/>
    <w:rsid w:val="00D03A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D03A86"/>
    <w:rPr>
      <w:i/>
      <w:iCs/>
      <w:color w:val="0F4761" w:themeColor="accent1" w:themeShade="BF"/>
    </w:rPr>
  </w:style>
  <w:style w:type="character" w:styleId="ad">
    <w:name w:val="Intense Reference"/>
    <w:basedOn w:val="a0"/>
    <w:uiPriority w:val="32"/>
    <w:qFormat/>
    <w:rsid w:val="00D03A86"/>
    <w:rPr>
      <w:b/>
      <w:bCs/>
      <w:smallCaps/>
      <w:color w:val="0F4761" w:themeColor="accent1" w:themeShade="BF"/>
      <w:spacing w:val="5"/>
    </w:rPr>
  </w:style>
  <w:style w:type="paragraph" w:styleId="ae">
    <w:name w:val="header"/>
    <w:basedOn w:val="a"/>
    <w:link w:val="af"/>
    <w:uiPriority w:val="99"/>
    <w:unhideWhenUsed/>
    <w:rsid w:val="00791A5F"/>
    <w:pPr>
      <w:tabs>
        <w:tab w:val="center" w:pos="4153"/>
        <w:tab w:val="right" w:pos="8306"/>
      </w:tabs>
      <w:snapToGrid w:val="0"/>
      <w:spacing w:line="240" w:lineRule="auto"/>
      <w:jc w:val="center"/>
    </w:pPr>
    <w:rPr>
      <w:sz w:val="18"/>
      <w:szCs w:val="18"/>
    </w:rPr>
  </w:style>
  <w:style w:type="character" w:customStyle="1" w:styleId="af">
    <w:name w:val="页眉 字符"/>
    <w:basedOn w:val="a0"/>
    <w:link w:val="ae"/>
    <w:uiPriority w:val="99"/>
    <w:rsid w:val="00791A5F"/>
    <w:rPr>
      <w:sz w:val="18"/>
      <w:szCs w:val="18"/>
    </w:rPr>
  </w:style>
  <w:style w:type="paragraph" w:styleId="af0">
    <w:name w:val="footer"/>
    <w:basedOn w:val="a"/>
    <w:link w:val="af1"/>
    <w:uiPriority w:val="99"/>
    <w:unhideWhenUsed/>
    <w:rsid w:val="00791A5F"/>
    <w:pPr>
      <w:tabs>
        <w:tab w:val="center" w:pos="4153"/>
        <w:tab w:val="right" w:pos="8306"/>
      </w:tabs>
      <w:snapToGrid w:val="0"/>
      <w:spacing w:line="240" w:lineRule="auto"/>
    </w:pPr>
    <w:rPr>
      <w:sz w:val="18"/>
      <w:szCs w:val="18"/>
    </w:rPr>
  </w:style>
  <w:style w:type="character" w:customStyle="1" w:styleId="af1">
    <w:name w:val="页脚 字符"/>
    <w:basedOn w:val="a0"/>
    <w:link w:val="af0"/>
    <w:uiPriority w:val="99"/>
    <w:rsid w:val="00791A5F"/>
    <w:rPr>
      <w:sz w:val="18"/>
      <w:szCs w:val="18"/>
    </w:rPr>
  </w:style>
  <w:style w:type="character" w:styleId="af2">
    <w:name w:val="annotation reference"/>
    <w:basedOn w:val="a0"/>
    <w:uiPriority w:val="99"/>
    <w:semiHidden/>
    <w:unhideWhenUsed/>
    <w:rsid w:val="004B5536"/>
    <w:rPr>
      <w:sz w:val="21"/>
      <w:szCs w:val="21"/>
    </w:rPr>
  </w:style>
  <w:style w:type="paragraph" w:styleId="af3">
    <w:name w:val="annotation text"/>
    <w:basedOn w:val="a"/>
    <w:link w:val="af4"/>
    <w:uiPriority w:val="99"/>
    <w:unhideWhenUsed/>
    <w:rsid w:val="004B5536"/>
    <w:pPr>
      <w:jc w:val="left"/>
    </w:pPr>
  </w:style>
  <w:style w:type="character" w:customStyle="1" w:styleId="af4">
    <w:name w:val="批注文字 字符"/>
    <w:basedOn w:val="a0"/>
    <w:link w:val="af3"/>
    <w:uiPriority w:val="99"/>
    <w:rsid w:val="004B5536"/>
    <w:rPr>
      <w:rFonts w:ascii="Times New Roman" w:eastAsia="宋体" w:hAnsi="Times New Roman"/>
      <w:sz w:val="21"/>
      <w:szCs w:val="22"/>
      <w:lang w:bidi="ug-CN"/>
      <w14:ligatures w14:val="none"/>
    </w:rPr>
  </w:style>
  <w:style w:type="paragraph" w:styleId="af5">
    <w:name w:val="annotation subject"/>
    <w:basedOn w:val="af3"/>
    <w:next w:val="af3"/>
    <w:link w:val="af6"/>
    <w:uiPriority w:val="99"/>
    <w:semiHidden/>
    <w:unhideWhenUsed/>
    <w:rsid w:val="004B5536"/>
    <w:rPr>
      <w:b/>
      <w:bCs/>
    </w:rPr>
  </w:style>
  <w:style w:type="character" w:customStyle="1" w:styleId="af6">
    <w:name w:val="批注主题 字符"/>
    <w:basedOn w:val="af4"/>
    <w:link w:val="af5"/>
    <w:uiPriority w:val="99"/>
    <w:semiHidden/>
    <w:rsid w:val="004B5536"/>
    <w:rPr>
      <w:rFonts w:ascii="Times New Roman" w:eastAsia="宋体" w:hAnsi="Times New Roman"/>
      <w:b/>
      <w:bCs/>
      <w:sz w:val="21"/>
      <w:szCs w:val="22"/>
      <w:lang w:bidi="ug-CN"/>
      <w14:ligatures w14:val="none"/>
    </w:rPr>
  </w:style>
  <w:style w:type="table" w:styleId="af7">
    <w:name w:val="Table Grid"/>
    <w:basedOn w:val="a1"/>
    <w:uiPriority w:val="39"/>
    <w:rsid w:val="00A112A6"/>
    <w:pPr>
      <w:spacing w:after="0" w:line="240" w:lineRule="auto"/>
    </w:pPr>
    <w:rPr>
      <w:rFonts w:ascii="Times New Roman" w:eastAsia="宋体" w:hAnsi="Times New Roman" w:cs="Times New Roman"/>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3555</TotalTime>
  <Pages>21</Pages>
  <Words>6041</Words>
  <Characters>35522</Characters>
  <Application>Microsoft Office Word</Application>
  <DocSecurity>0</DocSecurity>
  <Lines>670</Lines>
  <Paragraphs>241</Paragraphs>
  <ScaleCrop>false</ScaleCrop>
  <Company/>
  <LinksUpToDate>false</LinksUpToDate>
  <CharactersWithSpaces>41322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xinlu liu</dc:creator>
  <cp:keywords/>
  <dc:description/>
  <cp:lastModifiedBy>xinlu liu</cp:lastModifiedBy>
  <cp:revision>19</cp:revision>
  <dcterms:created xsi:type="dcterms:W3CDTF">2025-12-18T08:25:00Z</dcterms:created>
  <dcterms:modified xsi:type="dcterms:W3CDTF">2026-01-04T12:46:00Z</dcterms:modified>
</cp:coreProperties>
</file>